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44E" w:rsidRDefault="00AF6565">
      <w:pPr>
        <w:pStyle w:val="Normal1"/>
      </w:pPr>
      <w:r>
        <w:t>Competency exam results</w:t>
      </w:r>
    </w:p>
    <w:p w:rsidR="002A544E" w:rsidRDefault="00AF6565">
      <w:pPr>
        <w:pStyle w:val="Normal1"/>
        <w:numPr>
          <w:ilvl w:val="0"/>
          <w:numId w:val="1"/>
        </w:numPr>
        <w:pBdr>
          <w:top w:val="nil"/>
          <w:left w:val="nil"/>
          <w:bottom w:val="nil"/>
          <w:right w:val="nil"/>
          <w:between w:val="nil"/>
        </w:pBdr>
        <w:spacing w:after="0" w:line="240" w:lineRule="auto"/>
        <w:rPr>
          <w:b/>
          <w:color w:val="000000"/>
          <w:highlight w:val="white"/>
        </w:rPr>
      </w:pPr>
      <w:r>
        <w:rPr>
          <w:b/>
          <w:color w:val="000000"/>
          <w:highlight w:val="white"/>
        </w:rPr>
        <w:t xml:space="preserve">4.1.1 </w:t>
      </w:r>
      <w:r w:rsidRPr="007D3903">
        <w:rPr>
          <w:b/>
          <w:color w:val="000000"/>
        </w:rPr>
        <w:t>Percentages</w:t>
      </w:r>
      <w:r>
        <w:rPr>
          <w:b/>
          <w:color w:val="000000"/>
          <w:highlight w:val="white"/>
        </w:rPr>
        <w:t xml:space="preserve"> of children/young people who achieve minimum proficiency level in reading at the end of primary education</w:t>
      </w:r>
    </w:p>
    <w:p w:rsidR="002A544E" w:rsidRDefault="002A544E">
      <w:pPr>
        <w:pStyle w:val="Normal1"/>
        <w:spacing w:after="0" w:line="240" w:lineRule="auto"/>
        <w:rPr>
          <w:b/>
          <w:color w:val="000000"/>
          <w:highlight w:val="white"/>
        </w:rPr>
      </w:pP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65"/>
        <w:gridCol w:w="2045"/>
        <w:gridCol w:w="1965"/>
        <w:gridCol w:w="3601"/>
      </w:tblGrid>
      <w:tr w:rsidR="002A544E">
        <w:trPr>
          <w:trHeight w:val="560"/>
          <w:jc w:val="center"/>
        </w:trPr>
        <w:tc>
          <w:tcPr>
            <w:tcW w:w="1965" w:type="dxa"/>
            <w:shd w:val="clear" w:color="auto" w:fill="92D050"/>
            <w:vAlign w:val="center"/>
          </w:tcPr>
          <w:p w:rsidR="002A544E" w:rsidRDefault="00AF6565">
            <w:pPr>
              <w:pStyle w:val="Normal1"/>
              <w:spacing w:after="0" w:line="240" w:lineRule="auto"/>
              <w:jc w:val="center"/>
              <w:rPr>
                <w:b/>
                <w:sz w:val="24"/>
                <w:szCs w:val="24"/>
              </w:rPr>
            </w:pPr>
            <w:r>
              <w:rPr>
                <w:b/>
                <w:sz w:val="24"/>
                <w:szCs w:val="24"/>
              </w:rPr>
              <w:t>Year</w:t>
            </w:r>
          </w:p>
        </w:tc>
        <w:tc>
          <w:tcPr>
            <w:tcW w:w="2045" w:type="dxa"/>
            <w:shd w:val="clear" w:color="auto" w:fill="92D050"/>
            <w:vAlign w:val="center"/>
          </w:tcPr>
          <w:p w:rsidR="002A544E" w:rsidRDefault="00AF6565">
            <w:pPr>
              <w:pStyle w:val="Normal1"/>
              <w:spacing w:after="0" w:line="240" w:lineRule="auto"/>
              <w:jc w:val="center"/>
              <w:rPr>
                <w:b/>
                <w:color w:val="000000"/>
              </w:rPr>
            </w:pPr>
            <w:r>
              <w:rPr>
                <w:b/>
                <w:color w:val="000000"/>
              </w:rPr>
              <w:t>Grade 3</w:t>
            </w:r>
          </w:p>
        </w:tc>
        <w:tc>
          <w:tcPr>
            <w:tcW w:w="1965" w:type="dxa"/>
            <w:shd w:val="clear" w:color="auto" w:fill="92D050"/>
            <w:vAlign w:val="center"/>
          </w:tcPr>
          <w:p w:rsidR="002A544E" w:rsidRDefault="00AF6565">
            <w:pPr>
              <w:pStyle w:val="Normal1"/>
              <w:spacing w:after="0" w:line="240" w:lineRule="auto"/>
              <w:jc w:val="center"/>
              <w:rPr>
                <w:b/>
                <w:color w:val="000000"/>
              </w:rPr>
            </w:pPr>
            <w:r>
              <w:rPr>
                <w:b/>
                <w:color w:val="000000"/>
              </w:rPr>
              <w:t>Grade 6</w:t>
            </w:r>
          </w:p>
        </w:tc>
        <w:tc>
          <w:tcPr>
            <w:tcW w:w="3601" w:type="dxa"/>
            <w:shd w:val="clear" w:color="auto" w:fill="92D050"/>
            <w:vAlign w:val="center"/>
          </w:tcPr>
          <w:p w:rsidR="002A544E" w:rsidRDefault="00AF6565">
            <w:pPr>
              <w:pStyle w:val="Normal1"/>
              <w:spacing w:after="0" w:line="240" w:lineRule="auto"/>
              <w:jc w:val="center"/>
              <w:rPr>
                <w:b/>
                <w:color w:val="000000"/>
              </w:rPr>
            </w:pPr>
            <w:r>
              <w:rPr>
                <w:b/>
                <w:color w:val="000000"/>
              </w:rPr>
              <w:t>Total primary (grade 3 en 6)</w:t>
            </w:r>
          </w:p>
        </w:tc>
      </w:tr>
      <w:tr w:rsidR="002A544E">
        <w:trPr>
          <w:trHeight w:val="280"/>
          <w:jc w:val="center"/>
        </w:trPr>
        <w:tc>
          <w:tcPr>
            <w:tcW w:w="1965" w:type="dxa"/>
            <w:shd w:val="clear" w:color="auto" w:fill="auto"/>
            <w:vAlign w:val="center"/>
          </w:tcPr>
          <w:p w:rsidR="002A544E" w:rsidRDefault="00AF6565">
            <w:pPr>
              <w:pStyle w:val="Normal1"/>
              <w:spacing w:after="0" w:line="240" w:lineRule="auto"/>
              <w:jc w:val="center"/>
              <w:rPr>
                <w:color w:val="000000"/>
              </w:rPr>
            </w:pPr>
            <w:r>
              <w:rPr>
                <w:color w:val="000000"/>
              </w:rPr>
              <w:t>2015</w:t>
            </w:r>
          </w:p>
        </w:tc>
        <w:tc>
          <w:tcPr>
            <w:tcW w:w="2045" w:type="dxa"/>
            <w:shd w:val="clear" w:color="auto" w:fill="auto"/>
            <w:vAlign w:val="center"/>
          </w:tcPr>
          <w:p w:rsidR="002A544E" w:rsidRDefault="00AF6565">
            <w:pPr>
              <w:pStyle w:val="Normal1"/>
              <w:spacing w:after="0" w:line="240" w:lineRule="auto"/>
              <w:jc w:val="center"/>
              <w:rPr>
                <w:color w:val="000000"/>
              </w:rPr>
            </w:pPr>
            <w:r>
              <w:rPr>
                <w:color w:val="000000"/>
              </w:rPr>
              <w:t>12.9</w:t>
            </w:r>
          </w:p>
        </w:tc>
        <w:tc>
          <w:tcPr>
            <w:tcW w:w="1965" w:type="dxa"/>
            <w:shd w:val="clear" w:color="auto" w:fill="auto"/>
            <w:vAlign w:val="center"/>
          </w:tcPr>
          <w:p w:rsidR="002A544E" w:rsidRDefault="00AF6565">
            <w:pPr>
              <w:pStyle w:val="Normal1"/>
              <w:spacing w:after="0" w:line="240" w:lineRule="auto"/>
              <w:jc w:val="center"/>
              <w:rPr>
                <w:color w:val="000000"/>
              </w:rPr>
            </w:pPr>
            <w:r>
              <w:rPr>
                <w:color w:val="000000"/>
              </w:rPr>
              <w:t>59.9</w:t>
            </w:r>
          </w:p>
        </w:tc>
        <w:tc>
          <w:tcPr>
            <w:tcW w:w="3601" w:type="dxa"/>
            <w:shd w:val="clear" w:color="auto" w:fill="auto"/>
            <w:vAlign w:val="center"/>
          </w:tcPr>
          <w:p w:rsidR="002A544E" w:rsidRDefault="00AF6565">
            <w:pPr>
              <w:pStyle w:val="Normal1"/>
              <w:spacing w:after="0" w:line="240" w:lineRule="auto"/>
              <w:jc w:val="center"/>
              <w:rPr>
                <w:color w:val="000000"/>
              </w:rPr>
            </w:pPr>
            <w:r>
              <w:rPr>
                <w:color w:val="000000"/>
              </w:rPr>
              <w:t>72.8</w:t>
            </w:r>
          </w:p>
        </w:tc>
      </w:tr>
      <w:tr w:rsidR="002A544E">
        <w:trPr>
          <w:trHeight w:val="280"/>
          <w:jc w:val="center"/>
        </w:trPr>
        <w:tc>
          <w:tcPr>
            <w:tcW w:w="1965" w:type="dxa"/>
            <w:shd w:val="clear" w:color="auto" w:fill="auto"/>
            <w:vAlign w:val="center"/>
          </w:tcPr>
          <w:p w:rsidR="002A544E" w:rsidRDefault="00AF6565">
            <w:pPr>
              <w:pStyle w:val="Normal1"/>
              <w:spacing w:after="0" w:line="240" w:lineRule="auto"/>
              <w:jc w:val="center"/>
              <w:rPr>
                <w:color w:val="000000"/>
              </w:rPr>
            </w:pPr>
            <w:r>
              <w:rPr>
                <w:color w:val="000000"/>
              </w:rPr>
              <w:t>2016</w:t>
            </w:r>
          </w:p>
        </w:tc>
        <w:tc>
          <w:tcPr>
            <w:tcW w:w="2045" w:type="dxa"/>
            <w:shd w:val="clear" w:color="auto" w:fill="auto"/>
            <w:vAlign w:val="center"/>
          </w:tcPr>
          <w:p w:rsidR="002A544E" w:rsidRDefault="00AF6565">
            <w:pPr>
              <w:pStyle w:val="Normal1"/>
              <w:spacing w:after="0" w:line="240" w:lineRule="auto"/>
              <w:jc w:val="center"/>
              <w:rPr>
                <w:color w:val="000000"/>
              </w:rPr>
            </w:pPr>
            <w:r>
              <w:rPr>
                <w:color w:val="000000"/>
              </w:rPr>
              <w:t>13.1</w:t>
            </w:r>
          </w:p>
        </w:tc>
        <w:tc>
          <w:tcPr>
            <w:tcW w:w="1965" w:type="dxa"/>
            <w:shd w:val="clear" w:color="auto" w:fill="auto"/>
            <w:vAlign w:val="center"/>
          </w:tcPr>
          <w:p w:rsidR="002A544E" w:rsidRDefault="00AF6565">
            <w:pPr>
              <w:pStyle w:val="Normal1"/>
              <w:spacing w:after="0" w:line="240" w:lineRule="auto"/>
              <w:jc w:val="center"/>
              <w:rPr>
                <w:color w:val="000000"/>
              </w:rPr>
            </w:pPr>
            <w:r>
              <w:rPr>
                <w:color w:val="000000"/>
              </w:rPr>
              <w:t>58.8</w:t>
            </w:r>
          </w:p>
        </w:tc>
        <w:tc>
          <w:tcPr>
            <w:tcW w:w="3601" w:type="dxa"/>
            <w:shd w:val="clear" w:color="auto" w:fill="auto"/>
            <w:vAlign w:val="center"/>
          </w:tcPr>
          <w:p w:rsidR="002A544E" w:rsidRDefault="00AF6565">
            <w:pPr>
              <w:pStyle w:val="Normal1"/>
              <w:spacing w:after="0" w:line="240" w:lineRule="auto"/>
              <w:jc w:val="center"/>
              <w:rPr>
                <w:color w:val="000000"/>
              </w:rPr>
            </w:pPr>
            <w:r>
              <w:rPr>
                <w:color w:val="000000"/>
              </w:rPr>
              <w:t>71.9</w:t>
            </w:r>
          </w:p>
        </w:tc>
      </w:tr>
      <w:tr w:rsidR="002A544E">
        <w:trPr>
          <w:trHeight w:val="280"/>
          <w:jc w:val="center"/>
        </w:trPr>
        <w:tc>
          <w:tcPr>
            <w:tcW w:w="1965" w:type="dxa"/>
            <w:shd w:val="clear" w:color="auto" w:fill="auto"/>
            <w:vAlign w:val="center"/>
          </w:tcPr>
          <w:p w:rsidR="002A544E" w:rsidRDefault="00AF6565">
            <w:pPr>
              <w:pStyle w:val="Normal1"/>
              <w:spacing w:after="0" w:line="240" w:lineRule="auto"/>
              <w:jc w:val="center"/>
              <w:rPr>
                <w:color w:val="000000"/>
              </w:rPr>
            </w:pPr>
            <w:r>
              <w:rPr>
                <w:color w:val="000000"/>
              </w:rPr>
              <w:t>2017</w:t>
            </w:r>
          </w:p>
        </w:tc>
        <w:tc>
          <w:tcPr>
            <w:tcW w:w="2045" w:type="dxa"/>
            <w:shd w:val="clear" w:color="auto" w:fill="auto"/>
            <w:vAlign w:val="center"/>
          </w:tcPr>
          <w:p w:rsidR="002A544E" w:rsidRDefault="00AF6565">
            <w:pPr>
              <w:pStyle w:val="Normal1"/>
              <w:spacing w:after="0" w:line="240" w:lineRule="auto"/>
              <w:jc w:val="center"/>
              <w:rPr>
                <w:color w:val="000000"/>
              </w:rPr>
            </w:pPr>
            <w:r>
              <w:rPr>
                <w:color w:val="000000"/>
              </w:rPr>
              <w:t>12.8</w:t>
            </w:r>
          </w:p>
        </w:tc>
        <w:tc>
          <w:tcPr>
            <w:tcW w:w="1965" w:type="dxa"/>
            <w:shd w:val="clear" w:color="auto" w:fill="auto"/>
            <w:vAlign w:val="center"/>
          </w:tcPr>
          <w:p w:rsidR="002A544E" w:rsidRDefault="00AF6565">
            <w:pPr>
              <w:pStyle w:val="Normal1"/>
              <w:spacing w:after="0" w:line="240" w:lineRule="auto"/>
              <w:jc w:val="center"/>
              <w:rPr>
                <w:color w:val="000000"/>
              </w:rPr>
            </w:pPr>
            <w:r>
              <w:rPr>
                <w:color w:val="000000"/>
              </w:rPr>
              <w:t>54.2</w:t>
            </w:r>
          </w:p>
        </w:tc>
        <w:tc>
          <w:tcPr>
            <w:tcW w:w="3601" w:type="dxa"/>
            <w:shd w:val="clear" w:color="auto" w:fill="auto"/>
            <w:vAlign w:val="center"/>
          </w:tcPr>
          <w:p w:rsidR="002A544E" w:rsidRDefault="00AF6565">
            <w:pPr>
              <w:pStyle w:val="Normal1"/>
              <w:spacing w:after="0" w:line="240" w:lineRule="auto"/>
              <w:jc w:val="center"/>
              <w:rPr>
                <w:color w:val="000000"/>
              </w:rPr>
            </w:pPr>
            <w:r>
              <w:rPr>
                <w:color w:val="000000"/>
              </w:rPr>
              <w:t>67</w:t>
            </w:r>
          </w:p>
        </w:tc>
      </w:tr>
      <w:tr w:rsidR="002A544E">
        <w:trPr>
          <w:trHeight w:val="280"/>
          <w:jc w:val="center"/>
        </w:trPr>
        <w:tc>
          <w:tcPr>
            <w:tcW w:w="1965" w:type="dxa"/>
            <w:shd w:val="clear" w:color="auto" w:fill="auto"/>
            <w:vAlign w:val="center"/>
          </w:tcPr>
          <w:p w:rsidR="002A544E" w:rsidRDefault="00AF6565">
            <w:pPr>
              <w:pStyle w:val="Normal1"/>
              <w:spacing w:after="0" w:line="240" w:lineRule="auto"/>
              <w:jc w:val="center"/>
              <w:rPr>
                <w:color w:val="000000"/>
              </w:rPr>
            </w:pPr>
            <w:r>
              <w:rPr>
                <w:color w:val="000000"/>
              </w:rPr>
              <w:t>2018</w:t>
            </w:r>
          </w:p>
        </w:tc>
        <w:tc>
          <w:tcPr>
            <w:tcW w:w="2045" w:type="dxa"/>
            <w:shd w:val="clear" w:color="auto" w:fill="auto"/>
            <w:vAlign w:val="center"/>
          </w:tcPr>
          <w:p w:rsidR="002A544E" w:rsidRDefault="00AF6565">
            <w:pPr>
              <w:pStyle w:val="Normal1"/>
              <w:spacing w:after="0" w:line="240" w:lineRule="auto"/>
              <w:jc w:val="center"/>
              <w:rPr>
                <w:color w:val="000000"/>
              </w:rPr>
            </w:pPr>
            <w:r>
              <w:rPr>
                <w:color w:val="000000"/>
              </w:rPr>
              <w:t>na</w:t>
            </w:r>
          </w:p>
        </w:tc>
        <w:tc>
          <w:tcPr>
            <w:tcW w:w="1965" w:type="dxa"/>
            <w:shd w:val="clear" w:color="auto" w:fill="auto"/>
            <w:vAlign w:val="center"/>
          </w:tcPr>
          <w:p w:rsidR="002A544E" w:rsidRDefault="00AF6565">
            <w:pPr>
              <w:pStyle w:val="Normal1"/>
              <w:spacing w:after="0" w:line="240" w:lineRule="auto"/>
              <w:jc w:val="center"/>
              <w:rPr>
                <w:color w:val="000000"/>
              </w:rPr>
            </w:pPr>
            <w:r>
              <w:rPr>
                <w:color w:val="000000"/>
              </w:rPr>
              <w:t>52.5</w:t>
            </w:r>
          </w:p>
        </w:tc>
        <w:tc>
          <w:tcPr>
            <w:tcW w:w="3601" w:type="dxa"/>
            <w:shd w:val="clear" w:color="auto" w:fill="auto"/>
            <w:vAlign w:val="center"/>
          </w:tcPr>
          <w:p w:rsidR="002A544E" w:rsidRDefault="00AF6565">
            <w:pPr>
              <w:pStyle w:val="Normal1"/>
              <w:spacing w:after="0" w:line="240" w:lineRule="auto"/>
              <w:jc w:val="center"/>
              <w:rPr>
                <w:color w:val="000000"/>
              </w:rPr>
            </w:pPr>
            <w:r>
              <w:rPr>
                <w:color w:val="000000"/>
              </w:rPr>
              <w:t>52.5</w:t>
            </w:r>
          </w:p>
        </w:tc>
      </w:tr>
      <w:tr w:rsidR="002A544E">
        <w:trPr>
          <w:trHeight w:val="280"/>
          <w:jc w:val="center"/>
        </w:trPr>
        <w:tc>
          <w:tcPr>
            <w:tcW w:w="1965" w:type="dxa"/>
            <w:shd w:val="clear" w:color="auto" w:fill="auto"/>
            <w:vAlign w:val="center"/>
          </w:tcPr>
          <w:p w:rsidR="002A544E" w:rsidRDefault="00AF6565">
            <w:pPr>
              <w:pStyle w:val="Normal1"/>
              <w:spacing w:after="0" w:line="240" w:lineRule="auto"/>
              <w:jc w:val="center"/>
              <w:rPr>
                <w:color w:val="000000"/>
              </w:rPr>
            </w:pPr>
            <w:r>
              <w:rPr>
                <w:color w:val="000000"/>
              </w:rPr>
              <w:t>2019</w:t>
            </w:r>
          </w:p>
        </w:tc>
        <w:tc>
          <w:tcPr>
            <w:tcW w:w="2045" w:type="dxa"/>
            <w:shd w:val="clear" w:color="auto" w:fill="auto"/>
            <w:vAlign w:val="center"/>
          </w:tcPr>
          <w:p w:rsidR="002A544E" w:rsidRDefault="00AF6565">
            <w:pPr>
              <w:pStyle w:val="Normal1"/>
              <w:spacing w:after="0" w:line="240" w:lineRule="auto"/>
              <w:jc w:val="center"/>
              <w:rPr>
                <w:color w:val="000000"/>
              </w:rPr>
            </w:pPr>
            <w:r>
              <w:rPr>
                <w:color w:val="000000"/>
              </w:rPr>
              <w:t>na</w:t>
            </w:r>
          </w:p>
        </w:tc>
        <w:tc>
          <w:tcPr>
            <w:tcW w:w="1965" w:type="dxa"/>
            <w:shd w:val="clear" w:color="auto" w:fill="auto"/>
            <w:vAlign w:val="center"/>
          </w:tcPr>
          <w:p w:rsidR="002A544E" w:rsidRDefault="00AF6565">
            <w:pPr>
              <w:pStyle w:val="Normal1"/>
              <w:spacing w:after="0" w:line="240" w:lineRule="auto"/>
              <w:jc w:val="center"/>
              <w:rPr>
                <w:color w:val="000000"/>
              </w:rPr>
            </w:pPr>
            <w:r>
              <w:rPr>
                <w:color w:val="000000"/>
              </w:rPr>
              <w:t>58.9</w:t>
            </w:r>
          </w:p>
        </w:tc>
        <w:tc>
          <w:tcPr>
            <w:tcW w:w="3601" w:type="dxa"/>
            <w:shd w:val="clear" w:color="auto" w:fill="auto"/>
            <w:vAlign w:val="center"/>
          </w:tcPr>
          <w:p w:rsidR="002A544E" w:rsidRDefault="00AF6565">
            <w:pPr>
              <w:pStyle w:val="Normal1"/>
              <w:spacing w:after="0" w:line="240" w:lineRule="auto"/>
              <w:jc w:val="center"/>
              <w:rPr>
                <w:color w:val="000000"/>
              </w:rPr>
            </w:pPr>
            <w:r>
              <w:rPr>
                <w:color w:val="000000"/>
              </w:rPr>
              <w:t>58.9</w:t>
            </w:r>
          </w:p>
        </w:tc>
      </w:tr>
      <w:tr w:rsidR="00882DDB">
        <w:trPr>
          <w:trHeight w:val="280"/>
          <w:jc w:val="center"/>
        </w:trPr>
        <w:tc>
          <w:tcPr>
            <w:tcW w:w="1965" w:type="dxa"/>
            <w:shd w:val="clear" w:color="auto" w:fill="auto"/>
            <w:vAlign w:val="center"/>
          </w:tcPr>
          <w:p w:rsidR="00882DDB" w:rsidRDefault="00882DDB">
            <w:pPr>
              <w:pStyle w:val="Normal1"/>
              <w:spacing w:after="0" w:line="240" w:lineRule="auto"/>
              <w:jc w:val="center"/>
              <w:rPr>
                <w:color w:val="000000"/>
              </w:rPr>
            </w:pPr>
            <w:r>
              <w:rPr>
                <w:color w:val="000000"/>
              </w:rPr>
              <w:t>2020</w:t>
            </w:r>
          </w:p>
        </w:tc>
        <w:tc>
          <w:tcPr>
            <w:tcW w:w="2045" w:type="dxa"/>
            <w:shd w:val="clear" w:color="auto" w:fill="auto"/>
            <w:vAlign w:val="center"/>
          </w:tcPr>
          <w:p w:rsidR="00882DDB" w:rsidRDefault="00B12AC5">
            <w:pPr>
              <w:pStyle w:val="Normal1"/>
              <w:spacing w:after="0" w:line="240" w:lineRule="auto"/>
              <w:jc w:val="center"/>
              <w:rPr>
                <w:color w:val="000000"/>
              </w:rPr>
            </w:pPr>
            <w:r>
              <w:rPr>
                <w:color w:val="000000"/>
              </w:rPr>
              <w:t>na</w:t>
            </w:r>
          </w:p>
        </w:tc>
        <w:tc>
          <w:tcPr>
            <w:tcW w:w="1965" w:type="dxa"/>
            <w:shd w:val="clear" w:color="auto" w:fill="auto"/>
            <w:vAlign w:val="center"/>
          </w:tcPr>
          <w:p w:rsidR="00882DDB" w:rsidRDefault="00B12AC5">
            <w:pPr>
              <w:pStyle w:val="Normal1"/>
              <w:spacing w:after="0" w:line="240" w:lineRule="auto"/>
              <w:jc w:val="center"/>
              <w:rPr>
                <w:color w:val="000000"/>
              </w:rPr>
            </w:pPr>
            <w:r>
              <w:rPr>
                <w:color w:val="000000"/>
              </w:rPr>
              <w:t>63.2</w:t>
            </w:r>
          </w:p>
        </w:tc>
        <w:tc>
          <w:tcPr>
            <w:tcW w:w="3601" w:type="dxa"/>
            <w:shd w:val="clear" w:color="auto" w:fill="auto"/>
            <w:vAlign w:val="center"/>
          </w:tcPr>
          <w:p w:rsidR="00882DDB" w:rsidRDefault="00B12AC5">
            <w:pPr>
              <w:pStyle w:val="Normal1"/>
              <w:spacing w:after="0" w:line="240" w:lineRule="auto"/>
              <w:jc w:val="center"/>
              <w:rPr>
                <w:color w:val="000000"/>
              </w:rPr>
            </w:pPr>
            <w:r>
              <w:rPr>
                <w:color w:val="000000"/>
              </w:rPr>
              <w:t>63.2</w:t>
            </w:r>
          </w:p>
        </w:tc>
      </w:tr>
      <w:tr w:rsidR="00882DDB">
        <w:trPr>
          <w:trHeight w:val="280"/>
          <w:jc w:val="center"/>
        </w:trPr>
        <w:tc>
          <w:tcPr>
            <w:tcW w:w="1965" w:type="dxa"/>
            <w:shd w:val="clear" w:color="auto" w:fill="auto"/>
            <w:vAlign w:val="center"/>
          </w:tcPr>
          <w:p w:rsidR="00882DDB" w:rsidRDefault="00882DDB">
            <w:pPr>
              <w:pStyle w:val="Normal1"/>
              <w:spacing w:after="0" w:line="240" w:lineRule="auto"/>
              <w:jc w:val="center"/>
              <w:rPr>
                <w:color w:val="000000"/>
              </w:rPr>
            </w:pPr>
            <w:r>
              <w:rPr>
                <w:color w:val="000000"/>
              </w:rPr>
              <w:t>2021</w:t>
            </w:r>
          </w:p>
        </w:tc>
        <w:tc>
          <w:tcPr>
            <w:tcW w:w="2045" w:type="dxa"/>
            <w:shd w:val="clear" w:color="auto" w:fill="auto"/>
            <w:vAlign w:val="center"/>
          </w:tcPr>
          <w:p w:rsidR="00882DDB" w:rsidRDefault="00B12AC5">
            <w:pPr>
              <w:pStyle w:val="Normal1"/>
              <w:spacing w:after="0" w:line="240" w:lineRule="auto"/>
              <w:jc w:val="center"/>
              <w:rPr>
                <w:color w:val="000000"/>
              </w:rPr>
            </w:pPr>
            <w:r>
              <w:rPr>
                <w:color w:val="000000"/>
              </w:rPr>
              <w:t>na</w:t>
            </w:r>
          </w:p>
        </w:tc>
        <w:tc>
          <w:tcPr>
            <w:tcW w:w="1965" w:type="dxa"/>
            <w:shd w:val="clear" w:color="auto" w:fill="auto"/>
            <w:vAlign w:val="center"/>
          </w:tcPr>
          <w:p w:rsidR="00882DDB" w:rsidRDefault="00B12AC5">
            <w:pPr>
              <w:pStyle w:val="Normal1"/>
              <w:spacing w:after="0" w:line="240" w:lineRule="auto"/>
              <w:jc w:val="center"/>
              <w:rPr>
                <w:color w:val="000000"/>
              </w:rPr>
            </w:pPr>
            <w:r>
              <w:rPr>
                <w:color w:val="000000"/>
              </w:rPr>
              <w:t>na</w:t>
            </w:r>
          </w:p>
        </w:tc>
        <w:tc>
          <w:tcPr>
            <w:tcW w:w="3601" w:type="dxa"/>
            <w:shd w:val="clear" w:color="auto" w:fill="auto"/>
            <w:vAlign w:val="center"/>
          </w:tcPr>
          <w:p w:rsidR="00882DDB" w:rsidRDefault="00B12AC5">
            <w:pPr>
              <w:pStyle w:val="Normal1"/>
              <w:spacing w:after="0" w:line="240" w:lineRule="auto"/>
              <w:jc w:val="center"/>
              <w:rPr>
                <w:color w:val="000000"/>
              </w:rPr>
            </w:pPr>
            <w:r>
              <w:rPr>
                <w:color w:val="000000"/>
              </w:rPr>
              <w:t>na</w:t>
            </w:r>
          </w:p>
        </w:tc>
      </w:tr>
    </w:tbl>
    <w:p w:rsidR="002A544E" w:rsidRPr="00B12AC5" w:rsidRDefault="00B12AC5">
      <w:pPr>
        <w:pStyle w:val="Normal1"/>
        <w:spacing w:after="0" w:line="240" w:lineRule="auto"/>
        <w:rPr>
          <w:b/>
          <w:i/>
          <w:color w:val="000000"/>
          <w:highlight w:val="white"/>
        </w:rPr>
      </w:pPr>
      <w:r w:rsidRPr="00B12AC5">
        <w:rPr>
          <w:b/>
          <w:i/>
          <w:color w:val="000000"/>
          <w:highlight w:val="white"/>
        </w:rPr>
        <w:t xml:space="preserve">Note: </w:t>
      </w:r>
      <w:r w:rsidRPr="00B12AC5">
        <w:rPr>
          <w:b/>
          <w:i/>
          <w:color w:val="000000"/>
        </w:rPr>
        <w:t>No exam results</w:t>
      </w:r>
      <w:r>
        <w:rPr>
          <w:b/>
          <w:i/>
          <w:color w:val="000000"/>
        </w:rPr>
        <w:t xml:space="preserve"> for 2021</w:t>
      </w:r>
      <w:r w:rsidRPr="00B12AC5">
        <w:rPr>
          <w:b/>
          <w:i/>
          <w:color w:val="000000"/>
        </w:rPr>
        <w:t>, due to educational innovations</w:t>
      </w:r>
    </w:p>
    <w:p w:rsidR="002A544E" w:rsidRDefault="002A544E">
      <w:pPr>
        <w:pStyle w:val="Normal1"/>
        <w:spacing w:after="0" w:line="240" w:lineRule="auto"/>
        <w:rPr>
          <w:color w:val="000000"/>
          <w:sz w:val="24"/>
          <w:szCs w:val="24"/>
          <w:highlight w:val="white"/>
        </w:rPr>
      </w:pPr>
    </w:p>
    <w:p w:rsidR="002A544E" w:rsidRDefault="002A544E">
      <w:pPr>
        <w:pStyle w:val="Normal1"/>
        <w:spacing w:after="0" w:line="240" w:lineRule="auto"/>
        <w:jc w:val="center"/>
        <w:rPr>
          <w:color w:val="000000"/>
          <w:sz w:val="24"/>
          <w:szCs w:val="24"/>
          <w:highlight w:val="white"/>
        </w:rPr>
      </w:pPr>
    </w:p>
    <w:p w:rsidR="002A544E" w:rsidRDefault="00AF6565">
      <w:pPr>
        <w:pStyle w:val="Normal1"/>
        <w:numPr>
          <w:ilvl w:val="0"/>
          <w:numId w:val="1"/>
        </w:numPr>
        <w:pBdr>
          <w:top w:val="nil"/>
          <w:left w:val="nil"/>
          <w:bottom w:val="nil"/>
          <w:right w:val="nil"/>
          <w:between w:val="nil"/>
        </w:pBdr>
        <w:spacing w:after="0" w:line="240" w:lineRule="auto"/>
        <w:rPr>
          <w:b/>
          <w:color w:val="000000"/>
          <w:highlight w:val="white"/>
        </w:rPr>
      </w:pPr>
      <w:r>
        <w:rPr>
          <w:b/>
          <w:color w:val="000000"/>
          <w:highlight w:val="white"/>
        </w:rPr>
        <w:t xml:space="preserve">4.1.1 Percentages of young people who achieve minimum proficiency level in mathematics at the end of lower secondary </w:t>
      </w:r>
      <w:r w:rsidR="00B12AC5">
        <w:rPr>
          <w:b/>
          <w:color w:val="000000"/>
          <w:highlight w:val="white"/>
        </w:rPr>
        <w:t xml:space="preserve">(general) </w:t>
      </w:r>
      <w:r>
        <w:rPr>
          <w:b/>
          <w:color w:val="000000"/>
          <w:highlight w:val="white"/>
        </w:rPr>
        <w:t>education</w:t>
      </w:r>
    </w:p>
    <w:p w:rsidR="002A544E" w:rsidRDefault="002A544E">
      <w:pPr>
        <w:pStyle w:val="Normal1"/>
        <w:spacing w:after="0" w:line="240" w:lineRule="auto"/>
        <w:rPr>
          <w:color w:val="000000"/>
          <w:highlight w:val="white"/>
        </w:rPr>
      </w:pPr>
    </w:p>
    <w:p w:rsidR="002A544E" w:rsidRDefault="002A544E">
      <w:pPr>
        <w:pStyle w:val="Normal1"/>
      </w:pPr>
    </w:p>
    <w:tbl>
      <w:tblPr>
        <w:tblStyle w:val="a0"/>
        <w:tblW w:w="9576" w:type="dxa"/>
        <w:jc w:val="center"/>
        <w:tblLayout w:type="fixed"/>
        <w:tblLook w:val="0400"/>
      </w:tblPr>
      <w:tblGrid>
        <w:gridCol w:w="3308"/>
        <w:gridCol w:w="6268"/>
      </w:tblGrid>
      <w:tr w:rsidR="002A544E">
        <w:trPr>
          <w:trHeight w:val="560"/>
          <w:jc w:val="center"/>
        </w:trPr>
        <w:tc>
          <w:tcPr>
            <w:tcW w:w="3308"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2A544E" w:rsidRDefault="00AF6565">
            <w:pPr>
              <w:pStyle w:val="Normal1"/>
              <w:spacing w:after="0" w:line="240" w:lineRule="auto"/>
              <w:jc w:val="center"/>
              <w:rPr>
                <w:b/>
                <w:sz w:val="24"/>
                <w:szCs w:val="24"/>
              </w:rPr>
            </w:pPr>
            <w:r>
              <w:rPr>
                <w:b/>
                <w:sz w:val="24"/>
                <w:szCs w:val="24"/>
              </w:rPr>
              <w:t>Year</w:t>
            </w:r>
          </w:p>
        </w:tc>
        <w:tc>
          <w:tcPr>
            <w:tcW w:w="6268"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2A544E" w:rsidRDefault="00B12AC5">
            <w:pPr>
              <w:pStyle w:val="Normal1"/>
              <w:spacing w:after="0" w:line="240" w:lineRule="auto"/>
              <w:jc w:val="center"/>
              <w:rPr>
                <w:b/>
                <w:color w:val="000000"/>
              </w:rPr>
            </w:pPr>
            <w:r>
              <w:rPr>
                <w:b/>
                <w:color w:val="000000"/>
              </w:rPr>
              <w:t>General Lower S</w:t>
            </w:r>
            <w:r w:rsidR="00AF6565">
              <w:rPr>
                <w:b/>
                <w:color w:val="000000"/>
              </w:rPr>
              <w:t>econdary</w:t>
            </w:r>
          </w:p>
        </w:tc>
      </w:tr>
      <w:tr w:rsidR="002A544E">
        <w:trPr>
          <w:trHeight w:val="280"/>
          <w:jc w:val="center"/>
        </w:trPr>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44E" w:rsidRDefault="00AF6565">
            <w:pPr>
              <w:pStyle w:val="Normal1"/>
              <w:spacing w:after="0" w:line="240" w:lineRule="auto"/>
              <w:jc w:val="center"/>
              <w:rPr>
                <w:color w:val="000000"/>
              </w:rPr>
            </w:pPr>
            <w:r>
              <w:rPr>
                <w:color w:val="000000"/>
              </w:rPr>
              <w:t>2015</w:t>
            </w:r>
          </w:p>
        </w:tc>
        <w:tc>
          <w:tcPr>
            <w:tcW w:w="6268" w:type="dxa"/>
            <w:tcBorders>
              <w:top w:val="nil"/>
              <w:left w:val="nil"/>
              <w:bottom w:val="single" w:sz="4" w:space="0" w:color="000000"/>
              <w:right w:val="single" w:sz="4" w:space="0" w:color="000000"/>
            </w:tcBorders>
            <w:shd w:val="clear" w:color="auto" w:fill="auto"/>
            <w:vAlign w:val="center"/>
          </w:tcPr>
          <w:p w:rsidR="002A544E" w:rsidRDefault="00AF6565">
            <w:pPr>
              <w:pStyle w:val="Normal1"/>
              <w:spacing w:after="0" w:line="240" w:lineRule="auto"/>
              <w:jc w:val="center"/>
              <w:rPr>
                <w:color w:val="000000"/>
              </w:rPr>
            </w:pPr>
            <w:r>
              <w:rPr>
                <w:color w:val="000000"/>
              </w:rPr>
              <w:t>47.4</w:t>
            </w:r>
          </w:p>
        </w:tc>
      </w:tr>
      <w:tr w:rsidR="002A544E">
        <w:trPr>
          <w:trHeight w:val="280"/>
          <w:jc w:val="center"/>
        </w:trPr>
        <w:tc>
          <w:tcPr>
            <w:tcW w:w="3308" w:type="dxa"/>
            <w:tcBorders>
              <w:top w:val="nil"/>
              <w:left w:val="single" w:sz="4" w:space="0" w:color="000000"/>
              <w:bottom w:val="single" w:sz="4" w:space="0" w:color="000000"/>
              <w:right w:val="single" w:sz="4" w:space="0" w:color="000000"/>
            </w:tcBorders>
            <w:shd w:val="clear" w:color="auto" w:fill="auto"/>
            <w:vAlign w:val="center"/>
          </w:tcPr>
          <w:p w:rsidR="002A544E" w:rsidRDefault="00AF6565">
            <w:pPr>
              <w:pStyle w:val="Normal1"/>
              <w:spacing w:after="0" w:line="240" w:lineRule="auto"/>
              <w:jc w:val="center"/>
              <w:rPr>
                <w:color w:val="000000"/>
              </w:rPr>
            </w:pPr>
            <w:r>
              <w:rPr>
                <w:color w:val="000000"/>
              </w:rPr>
              <w:t>2016</w:t>
            </w:r>
          </w:p>
        </w:tc>
        <w:tc>
          <w:tcPr>
            <w:tcW w:w="6268" w:type="dxa"/>
            <w:tcBorders>
              <w:top w:val="nil"/>
              <w:left w:val="nil"/>
              <w:bottom w:val="single" w:sz="4" w:space="0" w:color="000000"/>
              <w:right w:val="single" w:sz="4" w:space="0" w:color="000000"/>
            </w:tcBorders>
            <w:shd w:val="clear" w:color="auto" w:fill="auto"/>
            <w:vAlign w:val="center"/>
          </w:tcPr>
          <w:p w:rsidR="002A544E" w:rsidRDefault="00AF6565">
            <w:pPr>
              <w:pStyle w:val="Normal1"/>
              <w:spacing w:after="0" w:line="240" w:lineRule="auto"/>
              <w:jc w:val="center"/>
              <w:rPr>
                <w:color w:val="000000"/>
              </w:rPr>
            </w:pPr>
            <w:r>
              <w:rPr>
                <w:color w:val="000000"/>
              </w:rPr>
              <w:t>49.9</w:t>
            </w:r>
          </w:p>
        </w:tc>
      </w:tr>
      <w:tr w:rsidR="002A544E">
        <w:trPr>
          <w:trHeight w:val="280"/>
          <w:jc w:val="center"/>
        </w:trPr>
        <w:tc>
          <w:tcPr>
            <w:tcW w:w="3308" w:type="dxa"/>
            <w:tcBorders>
              <w:top w:val="nil"/>
              <w:left w:val="single" w:sz="4" w:space="0" w:color="000000"/>
              <w:bottom w:val="single" w:sz="4" w:space="0" w:color="000000"/>
              <w:right w:val="single" w:sz="4" w:space="0" w:color="000000"/>
            </w:tcBorders>
            <w:shd w:val="clear" w:color="auto" w:fill="auto"/>
            <w:vAlign w:val="center"/>
          </w:tcPr>
          <w:p w:rsidR="002A544E" w:rsidRDefault="00AF6565">
            <w:pPr>
              <w:pStyle w:val="Normal1"/>
              <w:spacing w:after="0" w:line="240" w:lineRule="auto"/>
              <w:jc w:val="center"/>
              <w:rPr>
                <w:color w:val="000000"/>
              </w:rPr>
            </w:pPr>
            <w:r>
              <w:rPr>
                <w:color w:val="000000"/>
              </w:rPr>
              <w:t>2017</w:t>
            </w:r>
          </w:p>
        </w:tc>
        <w:tc>
          <w:tcPr>
            <w:tcW w:w="6268" w:type="dxa"/>
            <w:tcBorders>
              <w:top w:val="nil"/>
              <w:left w:val="nil"/>
              <w:bottom w:val="single" w:sz="4" w:space="0" w:color="000000"/>
              <w:right w:val="single" w:sz="4" w:space="0" w:color="000000"/>
            </w:tcBorders>
            <w:shd w:val="clear" w:color="auto" w:fill="auto"/>
            <w:vAlign w:val="center"/>
          </w:tcPr>
          <w:p w:rsidR="002A544E" w:rsidRDefault="00AF6565">
            <w:pPr>
              <w:pStyle w:val="Normal1"/>
              <w:spacing w:after="0" w:line="240" w:lineRule="auto"/>
              <w:jc w:val="center"/>
              <w:rPr>
                <w:color w:val="000000"/>
              </w:rPr>
            </w:pPr>
            <w:r>
              <w:rPr>
                <w:color w:val="000000"/>
              </w:rPr>
              <w:t>54.4</w:t>
            </w:r>
          </w:p>
        </w:tc>
      </w:tr>
      <w:tr w:rsidR="002A544E">
        <w:trPr>
          <w:trHeight w:val="280"/>
          <w:jc w:val="center"/>
        </w:trPr>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44E" w:rsidRDefault="00AF6565">
            <w:pPr>
              <w:pStyle w:val="Normal1"/>
              <w:spacing w:after="0" w:line="240" w:lineRule="auto"/>
              <w:jc w:val="center"/>
              <w:rPr>
                <w:color w:val="000000"/>
              </w:rPr>
            </w:pPr>
            <w:r>
              <w:rPr>
                <w:color w:val="000000"/>
              </w:rPr>
              <w:t>2018</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44E" w:rsidRDefault="00AF6565">
            <w:pPr>
              <w:pStyle w:val="Normal1"/>
              <w:spacing w:after="0" w:line="240" w:lineRule="auto"/>
              <w:jc w:val="center"/>
              <w:rPr>
                <w:color w:val="000000"/>
              </w:rPr>
            </w:pPr>
            <w:r>
              <w:rPr>
                <w:color w:val="000000"/>
              </w:rPr>
              <w:t>50.1</w:t>
            </w:r>
          </w:p>
        </w:tc>
      </w:tr>
      <w:tr w:rsidR="002A544E">
        <w:trPr>
          <w:trHeight w:val="280"/>
          <w:jc w:val="center"/>
        </w:trPr>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44E" w:rsidRDefault="00AF6565">
            <w:pPr>
              <w:pStyle w:val="Normal1"/>
              <w:spacing w:after="0" w:line="240" w:lineRule="auto"/>
              <w:jc w:val="center"/>
              <w:rPr>
                <w:color w:val="000000"/>
              </w:rPr>
            </w:pPr>
            <w:r>
              <w:rPr>
                <w:color w:val="000000"/>
              </w:rPr>
              <w:t>2019</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544E" w:rsidRDefault="00AF6565">
            <w:pPr>
              <w:pStyle w:val="Normal1"/>
              <w:spacing w:after="0" w:line="240" w:lineRule="auto"/>
              <w:jc w:val="center"/>
              <w:rPr>
                <w:color w:val="000000"/>
              </w:rPr>
            </w:pPr>
            <w:r>
              <w:rPr>
                <w:color w:val="000000"/>
              </w:rPr>
              <w:t>53.3</w:t>
            </w:r>
          </w:p>
        </w:tc>
      </w:tr>
      <w:tr w:rsidR="00882DDB">
        <w:trPr>
          <w:trHeight w:val="280"/>
          <w:jc w:val="center"/>
        </w:trPr>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DDB" w:rsidRDefault="00882DDB">
            <w:pPr>
              <w:pStyle w:val="Normal1"/>
              <w:spacing w:after="0" w:line="240" w:lineRule="auto"/>
              <w:jc w:val="center"/>
              <w:rPr>
                <w:color w:val="000000"/>
              </w:rPr>
            </w:pPr>
            <w:r>
              <w:rPr>
                <w:color w:val="000000"/>
              </w:rPr>
              <w:t>2020</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DDB" w:rsidRDefault="00B12AC5">
            <w:pPr>
              <w:pStyle w:val="Normal1"/>
              <w:spacing w:after="0" w:line="240" w:lineRule="auto"/>
              <w:jc w:val="center"/>
              <w:rPr>
                <w:color w:val="000000"/>
              </w:rPr>
            </w:pPr>
            <w:r>
              <w:rPr>
                <w:color w:val="000000"/>
              </w:rPr>
              <w:t>63.5</w:t>
            </w:r>
          </w:p>
        </w:tc>
      </w:tr>
      <w:tr w:rsidR="00882DDB">
        <w:trPr>
          <w:trHeight w:val="280"/>
          <w:jc w:val="center"/>
        </w:trPr>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DDB" w:rsidRDefault="00882DDB">
            <w:pPr>
              <w:pStyle w:val="Normal1"/>
              <w:spacing w:after="0" w:line="240" w:lineRule="auto"/>
              <w:jc w:val="center"/>
              <w:rPr>
                <w:color w:val="000000"/>
              </w:rPr>
            </w:pPr>
            <w:r>
              <w:rPr>
                <w:color w:val="000000"/>
              </w:rPr>
              <w:t>2021</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2DDB" w:rsidRDefault="00B12AC5">
            <w:pPr>
              <w:pStyle w:val="Normal1"/>
              <w:spacing w:after="0" w:line="240" w:lineRule="auto"/>
              <w:jc w:val="center"/>
              <w:rPr>
                <w:color w:val="000000"/>
              </w:rPr>
            </w:pPr>
            <w:r>
              <w:rPr>
                <w:color w:val="000000"/>
              </w:rPr>
              <w:t>na</w:t>
            </w:r>
          </w:p>
        </w:tc>
      </w:tr>
    </w:tbl>
    <w:p w:rsidR="002A544E" w:rsidRDefault="00AF6565">
      <w:pPr>
        <w:pStyle w:val="Normal1"/>
        <w:spacing w:after="0" w:line="240" w:lineRule="auto"/>
        <w:rPr>
          <w:i/>
          <w:color w:val="000000"/>
          <w:sz w:val="20"/>
          <w:szCs w:val="20"/>
          <w:highlight w:val="white"/>
        </w:rPr>
      </w:pPr>
      <w:r>
        <w:rPr>
          <w:i/>
          <w:color w:val="000000"/>
          <w:sz w:val="20"/>
          <w:szCs w:val="20"/>
          <w:highlight w:val="white"/>
        </w:rPr>
        <w:t>Source: Examination Bureau</w:t>
      </w:r>
    </w:p>
    <w:p w:rsidR="002A544E" w:rsidRDefault="002A544E">
      <w:pPr>
        <w:pStyle w:val="Normal1"/>
      </w:pPr>
      <w:bookmarkStart w:id="0" w:name="_gjdgxs" w:colFirst="0" w:colLast="0"/>
      <w:bookmarkEnd w:id="0"/>
    </w:p>
    <w:p w:rsidR="005C6CC3" w:rsidRDefault="005C6CC3" w:rsidP="005C6CC3">
      <w:pPr>
        <w:pStyle w:val="Normal1"/>
      </w:pPr>
      <w:r>
        <w:t>SDG calculation method:</w:t>
      </w:r>
    </w:p>
    <w:p w:rsidR="005C6CC3" w:rsidRDefault="005C6CC3" w:rsidP="005C6CC3">
      <w:pPr>
        <w:pStyle w:val="Normal1"/>
      </w:pPr>
      <w:r>
        <w:t xml:space="preserve">Purpose: The indicator aims to measure the percentage of children and young people who have achieved the minimum learning outcomes in reading and mathematics during or at the end of the relevant stages of education. </w:t>
      </w:r>
    </w:p>
    <w:p w:rsidR="005C6CC3" w:rsidRDefault="005C6CC3" w:rsidP="005C6CC3">
      <w:pPr>
        <w:pStyle w:val="Normal1"/>
      </w:pPr>
      <w:r>
        <w:t xml:space="preserve">Calculation method: The number of children and/or young people at the relevant stage of education n in year t achieving or exceeding the pre-defined proficiency level in subject s expressed as a percentage of the number of children and/or young people at stage of education n, in year t, in any proficiency level in subject s. </w:t>
      </w:r>
    </w:p>
    <w:p w:rsidR="005C6CC3" w:rsidRPr="007D3903" w:rsidRDefault="005C6CC3" w:rsidP="005C6CC3">
      <w:pPr>
        <w:pStyle w:val="Normal1"/>
        <w:rPr>
          <w:lang w:val="nl-NL"/>
        </w:rPr>
      </w:pPr>
      <w:r w:rsidRPr="007D3903">
        <w:rPr>
          <w:lang w:val="nl-NL"/>
        </w:rPr>
        <w:t>MPLt,n,s, = MPt,n,sPt,n</w:t>
      </w:r>
    </w:p>
    <w:p w:rsidR="005C6CC3" w:rsidRDefault="005C6CC3" w:rsidP="005C6CC3">
      <w:pPr>
        <w:pStyle w:val="Normal1"/>
      </w:pPr>
      <w:r>
        <w:t xml:space="preserve">Where: </w:t>
      </w:r>
    </w:p>
    <w:p w:rsidR="005C6CC3" w:rsidRDefault="005C6CC3" w:rsidP="005C6CC3">
      <w:pPr>
        <w:pStyle w:val="Normal1"/>
      </w:pPr>
      <w:r>
        <w:lastRenderedPageBreak/>
        <w:t>MPt,n,s = the number of children and young people at stage of education n, in year t, who have achieved or exceeded the minimum proficiency level in subject s.</w:t>
      </w:r>
    </w:p>
    <w:p w:rsidR="005C6CC3" w:rsidRPr="007D3903" w:rsidRDefault="005C6CC3" w:rsidP="005C6CC3">
      <w:pPr>
        <w:pStyle w:val="Normal1"/>
        <w:rPr>
          <w:lang w:val="nl-NL"/>
        </w:rPr>
      </w:pPr>
      <w:r w:rsidRPr="007D3903">
        <w:rPr>
          <w:lang w:val="nl-NL"/>
        </w:rPr>
        <w:t>SDG-berekeningsmethode:</w:t>
      </w:r>
    </w:p>
    <w:p w:rsidR="005C6CC3" w:rsidRPr="007D3903" w:rsidRDefault="005C6CC3" w:rsidP="005C6CC3">
      <w:pPr>
        <w:pStyle w:val="Normal1"/>
        <w:rPr>
          <w:lang w:val="nl-NL"/>
        </w:rPr>
      </w:pPr>
      <w:r w:rsidRPr="007D3903">
        <w:rPr>
          <w:lang w:val="nl-NL"/>
        </w:rPr>
        <w:t>Doel: De indicator is bedoeld om het percentage kinderen</w:t>
      </w:r>
      <w:r w:rsidR="007D3903">
        <w:rPr>
          <w:lang w:val="nl-NL"/>
        </w:rPr>
        <w:t xml:space="preserve"> </w:t>
      </w:r>
      <w:r w:rsidRPr="007D3903">
        <w:rPr>
          <w:lang w:val="nl-NL"/>
        </w:rPr>
        <w:t>en</w:t>
      </w:r>
      <w:r w:rsidR="007D3903">
        <w:rPr>
          <w:lang w:val="nl-NL"/>
        </w:rPr>
        <w:t xml:space="preserve"> </w:t>
      </w:r>
      <w:r w:rsidRPr="007D3903">
        <w:rPr>
          <w:lang w:val="nl-NL"/>
        </w:rPr>
        <w:t>jongeren te meten</w:t>
      </w:r>
      <w:r w:rsidR="007D3903">
        <w:rPr>
          <w:lang w:val="nl-NL"/>
        </w:rPr>
        <w:t xml:space="preserve"> </w:t>
      </w:r>
      <w:r w:rsidRPr="007D3903">
        <w:rPr>
          <w:lang w:val="nl-NL"/>
        </w:rPr>
        <w:t>dat</w:t>
      </w:r>
      <w:r w:rsidR="007D3903">
        <w:rPr>
          <w:lang w:val="nl-NL"/>
        </w:rPr>
        <w:t xml:space="preserve"> </w:t>
      </w:r>
      <w:r w:rsidRPr="007D3903">
        <w:rPr>
          <w:lang w:val="nl-NL"/>
        </w:rPr>
        <w:t>tijdens of aan het einde van de relevante</w:t>
      </w:r>
      <w:r w:rsidR="007D3903">
        <w:rPr>
          <w:lang w:val="nl-NL"/>
        </w:rPr>
        <w:t xml:space="preserve"> </w:t>
      </w:r>
      <w:r w:rsidRPr="007D3903">
        <w:rPr>
          <w:lang w:val="nl-NL"/>
        </w:rPr>
        <w:t>onderwijsfasen de minimale</w:t>
      </w:r>
      <w:r w:rsidR="007D3903">
        <w:rPr>
          <w:lang w:val="nl-NL"/>
        </w:rPr>
        <w:t xml:space="preserve"> </w:t>
      </w:r>
      <w:r w:rsidRPr="007D3903">
        <w:rPr>
          <w:lang w:val="nl-NL"/>
        </w:rPr>
        <w:t>leerresultaten in lezen</w:t>
      </w:r>
      <w:r w:rsidR="007D3903">
        <w:rPr>
          <w:lang w:val="nl-NL"/>
        </w:rPr>
        <w:t xml:space="preserve"> </w:t>
      </w:r>
      <w:r w:rsidRPr="007D3903">
        <w:rPr>
          <w:lang w:val="nl-NL"/>
        </w:rPr>
        <w:t>en</w:t>
      </w:r>
      <w:r w:rsidR="007D3903">
        <w:rPr>
          <w:lang w:val="nl-NL"/>
        </w:rPr>
        <w:t xml:space="preserve"> </w:t>
      </w:r>
      <w:r w:rsidRPr="007D3903">
        <w:rPr>
          <w:lang w:val="nl-NL"/>
        </w:rPr>
        <w:t>wiskunde hebben behaald.</w:t>
      </w:r>
    </w:p>
    <w:p w:rsidR="005C6CC3" w:rsidRPr="007D3903" w:rsidRDefault="005C6CC3" w:rsidP="005C6CC3">
      <w:pPr>
        <w:pStyle w:val="Normal1"/>
        <w:rPr>
          <w:lang w:val="nl-NL"/>
        </w:rPr>
      </w:pPr>
      <w:r w:rsidRPr="007D3903">
        <w:rPr>
          <w:lang w:val="nl-NL"/>
        </w:rPr>
        <w:t>Berekeningsmethode: Het aantal</w:t>
      </w:r>
      <w:r w:rsidR="007D3903">
        <w:rPr>
          <w:lang w:val="nl-NL"/>
        </w:rPr>
        <w:t xml:space="preserve"> </w:t>
      </w:r>
      <w:r w:rsidRPr="007D3903">
        <w:rPr>
          <w:lang w:val="nl-NL"/>
        </w:rPr>
        <w:t>kinderen</w:t>
      </w:r>
      <w:r w:rsidR="007D3903">
        <w:rPr>
          <w:lang w:val="nl-NL"/>
        </w:rPr>
        <w:t xml:space="preserve"> </w:t>
      </w:r>
      <w:r w:rsidRPr="007D3903">
        <w:rPr>
          <w:lang w:val="nl-NL"/>
        </w:rPr>
        <w:t>en/of jongeren in de relevante</w:t>
      </w:r>
      <w:r w:rsidR="007D3903">
        <w:rPr>
          <w:lang w:val="nl-NL"/>
        </w:rPr>
        <w:t xml:space="preserve"> </w:t>
      </w:r>
      <w:r w:rsidRPr="007D3903">
        <w:rPr>
          <w:lang w:val="nl-NL"/>
        </w:rPr>
        <w:t>onderwijsfase n in jaar t dat het vooraf</w:t>
      </w:r>
      <w:r w:rsidR="007D3903">
        <w:rPr>
          <w:lang w:val="nl-NL"/>
        </w:rPr>
        <w:t xml:space="preserve"> </w:t>
      </w:r>
      <w:r w:rsidRPr="007D3903">
        <w:rPr>
          <w:lang w:val="nl-NL"/>
        </w:rPr>
        <w:t>gedefinieerde</w:t>
      </w:r>
      <w:r w:rsidR="007D3903">
        <w:rPr>
          <w:lang w:val="nl-NL"/>
        </w:rPr>
        <w:t xml:space="preserve"> </w:t>
      </w:r>
      <w:r w:rsidRPr="007D3903">
        <w:rPr>
          <w:lang w:val="nl-NL"/>
        </w:rPr>
        <w:t>vaardigheidsniveau in vakken</w:t>
      </w:r>
      <w:r w:rsidR="007D3903">
        <w:rPr>
          <w:lang w:val="nl-NL"/>
        </w:rPr>
        <w:t xml:space="preserve"> </w:t>
      </w:r>
      <w:r w:rsidRPr="007D3903">
        <w:rPr>
          <w:lang w:val="nl-NL"/>
        </w:rPr>
        <w:t>bereikt of overschrijdt, uitgedrukt</w:t>
      </w:r>
      <w:r w:rsidR="007D3903">
        <w:rPr>
          <w:lang w:val="nl-NL"/>
        </w:rPr>
        <w:t xml:space="preserve"> </w:t>
      </w:r>
      <w:r w:rsidRPr="007D3903">
        <w:rPr>
          <w:lang w:val="nl-NL"/>
        </w:rPr>
        <w:t>als percentage van het aantal</w:t>
      </w:r>
      <w:r w:rsidR="007D3903">
        <w:rPr>
          <w:lang w:val="nl-NL"/>
        </w:rPr>
        <w:t xml:space="preserve"> </w:t>
      </w:r>
      <w:r w:rsidRPr="007D3903">
        <w:rPr>
          <w:lang w:val="nl-NL"/>
        </w:rPr>
        <w:t>kinderen</w:t>
      </w:r>
      <w:r w:rsidR="007D3903">
        <w:rPr>
          <w:lang w:val="nl-NL"/>
        </w:rPr>
        <w:t xml:space="preserve"> </w:t>
      </w:r>
      <w:r w:rsidRPr="007D3903">
        <w:rPr>
          <w:lang w:val="nl-NL"/>
        </w:rPr>
        <w:t>en/of jongeren in het stadium van onderwijs n, in jaar t, in elk vaardigheidsniveau in vak s.</w:t>
      </w:r>
    </w:p>
    <w:p w:rsidR="005C6CC3" w:rsidRPr="007D3903" w:rsidRDefault="005C6CC3" w:rsidP="005C6CC3">
      <w:pPr>
        <w:pStyle w:val="Normal1"/>
        <w:rPr>
          <w:lang w:val="nl-NL"/>
        </w:rPr>
      </w:pPr>
      <w:r w:rsidRPr="007D3903">
        <w:rPr>
          <w:lang w:val="nl-NL"/>
        </w:rPr>
        <w:t>MPLt, n, s, = MPt, n, s Pt, n</w:t>
      </w:r>
    </w:p>
    <w:p w:rsidR="005C6CC3" w:rsidRPr="007D3903" w:rsidRDefault="005C6CC3" w:rsidP="005C6CC3">
      <w:pPr>
        <w:pStyle w:val="Normal1"/>
        <w:rPr>
          <w:lang w:val="nl-NL"/>
        </w:rPr>
      </w:pPr>
      <w:r w:rsidRPr="007D3903">
        <w:rPr>
          <w:lang w:val="nl-NL"/>
        </w:rPr>
        <w:t>Waar:</w:t>
      </w:r>
    </w:p>
    <w:p w:rsidR="005C6CC3" w:rsidRPr="007D3903" w:rsidRDefault="005C6CC3" w:rsidP="005C6CC3">
      <w:pPr>
        <w:pStyle w:val="Normal1"/>
        <w:rPr>
          <w:lang w:val="nl-NL"/>
        </w:rPr>
      </w:pPr>
      <w:r w:rsidRPr="007D3903">
        <w:rPr>
          <w:lang w:val="nl-NL"/>
        </w:rPr>
        <w:t>MPt, n, s = het aantal</w:t>
      </w:r>
      <w:r w:rsidR="007D3903">
        <w:rPr>
          <w:lang w:val="nl-NL"/>
        </w:rPr>
        <w:t xml:space="preserve"> </w:t>
      </w:r>
      <w:r w:rsidRPr="007D3903">
        <w:rPr>
          <w:lang w:val="nl-NL"/>
        </w:rPr>
        <w:t>kinderen</w:t>
      </w:r>
      <w:r w:rsidR="007D3903">
        <w:rPr>
          <w:lang w:val="nl-NL"/>
        </w:rPr>
        <w:t xml:space="preserve"> </w:t>
      </w:r>
      <w:r w:rsidRPr="007D3903">
        <w:rPr>
          <w:lang w:val="nl-NL"/>
        </w:rPr>
        <w:t>en</w:t>
      </w:r>
      <w:r w:rsidR="007D3903">
        <w:rPr>
          <w:lang w:val="nl-NL"/>
        </w:rPr>
        <w:t xml:space="preserve"> </w:t>
      </w:r>
      <w:r w:rsidRPr="007D3903">
        <w:rPr>
          <w:lang w:val="nl-NL"/>
        </w:rPr>
        <w:t>jongeren in het onderwijsstadium n, in jaar t, dat het minimum vaardigheidsniveau in vak s heeft</w:t>
      </w:r>
      <w:r w:rsidR="007D3903">
        <w:rPr>
          <w:lang w:val="nl-NL"/>
        </w:rPr>
        <w:t xml:space="preserve"> </w:t>
      </w:r>
      <w:r w:rsidRPr="007D3903">
        <w:rPr>
          <w:lang w:val="nl-NL"/>
        </w:rPr>
        <w:t>behaald of overschreden.</w:t>
      </w:r>
    </w:p>
    <w:p w:rsidR="006F1F99" w:rsidRPr="007D3903" w:rsidRDefault="006F1F99" w:rsidP="005C6CC3">
      <w:pPr>
        <w:pStyle w:val="Normal1"/>
        <w:rPr>
          <w:lang w:val="nl-NL"/>
        </w:rPr>
      </w:pPr>
    </w:p>
    <w:p w:rsidR="006F1F99" w:rsidRPr="007D3903" w:rsidRDefault="006F1F99" w:rsidP="006F1F99">
      <w:pPr>
        <w:pStyle w:val="Normal1"/>
        <w:rPr>
          <w:b/>
          <w:bCs/>
          <w:i/>
          <w:iCs/>
          <w:lang w:val="nl-NL"/>
        </w:rPr>
      </w:pPr>
      <w:r w:rsidRPr="007D3903">
        <w:rPr>
          <w:b/>
          <w:bCs/>
          <w:i/>
          <w:iCs/>
          <w:lang w:val="nl-NL"/>
        </w:rPr>
        <w:t>Bron</w:t>
      </w:r>
      <w:r w:rsidR="007D3903">
        <w:rPr>
          <w:b/>
          <w:bCs/>
          <w:i/>
          <w:iCs/>
          <w:lang w:val="nl-NL"/>
        </w:rPr>
        <w:t xml:space="preserve">: </w:t>
      </w:r>
      <w:r w:rsidRPr="007D3903">
        <w:rPr>
          <w:b/>
          <w:bCs/>
          <w:i/>
          <w:iCs/>
          <w:lang w:val="nl-NL"/>
        </w:rPr>
        <w:t>Ministerie van Onderwijs, Wetenschap</w:t>
      </w:r>
      <w:r w:rsidR="007D3903">
        <w:rPr>
          <w:b/>
          <w:bCs/>
          <w:i/>
          <w:iCs/>
          <w:lang w:val="nl-NL"/>
        </w:rPr>
        <w:t xml:space="preserve"> </w:t>
      </w:r>
      <w:r w:rsidRPr="007D3903">
        <w:rPr>
          <w:b/>
          <w:bCs/>
          <w:i/>
          <w:iCs/>
          <w:lang w:val="nl-NL"/>
        </w:rPr>
        <w:t>en</w:t>
      </w:r>
      <w:r w:rsidR="007D3903">
        <w:rPr>
          <w:b/>
          <w:bCs/>
          <w:i/>
          <w:iCs/>
          <w:lang w:val="nl-NL"/>
        </w:rPr>
        <w:t xml:space="preserve"> Cultuur, </w:t>
      </w:r>
      <w:r w:rsidRPr="007D3903">
        <w:rPr>
          <w:b/>
          <w:bCs/>
          <w:i/>
          <w:iCs/>
          <w:lang w:val="nl-NL"/>
        </w:rPr>
        <w:t>afdeling</w:t>
      </w:r>
      <w:r w:rsidR="007D3903">
        <w:rPr>
          <w:b/>
          <w:bCs/>
          <w:i/>
          <w:iCs/>
          <w:lang w:val="nl-NL"/>
        </w:rPr>
        <w:t xml:space="preserve"> </w:t>
      </w:r>
      <w:r w:rsidRPr="007D3903">
        <w:rPr>
          <w:b/>
          <w:bCs/>
          <w:i/>
          <w:iCs/>
          <w:lang w:val="nl-NL"/>
        </w:rPr>
        <w:t>Onderzoek</w:t>
      </w:r>
      <w:r w:rsidR="007D3903">
        <w:rPr>
          <w:b/>
          <w:bCs/>
          <w:i/>
          <w:iCs/>
          <w:lang w:val="nl-NL"/>
        </w:rPr>
        <w:t xml:space="preserve"> </w:t>
      </w:r>
      <w:r w:rsidRPr="007D3903">
        <w:rPr>
          <w:b/>
          <w:bCs/>
          <w:i/>
          <w:iCs/>
          <w:lang w:val="nl-NL"/>
        </w:rPr>
        <w:t>en Planning</w:t>
      </w:r>
    </w:p>
    <w:p w:rsidR="006F1F99" w:rsidRPr="00C27B5A" w:rsidRDefault="006F1F99" w:rsidP="006F1F99">
      <w:pPr>
        <w:pStyle w:val="Normal1"/>
        <w:rPr>
          <w:b/>
          <w:bCs/>
          <w:i/>
          <w:iCs/>
        </w:rPr>
      </w:pPr>
      <w:r w:rsidRPr="00C27B5A">
        <w:rPr>
          <w:b/>
          <w:bCs/>
          <w:i/>
          <w:iCs/>
        </w:rPr>
        <w:t>Source:  Ministry of Education, Science and Culture, Section of Research and Planning</w:t>
      </w:r>
    </w:p>
    <w:p w:rsidR="006F1F99" w:rsidRDefault="006F1F99" w:rsidP="005C6CC3">
      <w:pPr>
        <w:pStyle w:val="Normal1"/>
      </w:pPr>
    </w:p>
    <w:sectPr w:rsidR="006F1F99" w:rsidSect="002A544E">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2D6" w:rsidRDefault="006F42D6" w:rsidP="002A544E">
      <w:pPr>
        <w:spacing w:after="0" w:line="240" w:lineRule="auto"/>
      </w:pPr>
      <w:r>
        <w:separator/>
      </w:r>
    </w:p>
  </w:endnote>
  <w:endnote w:type="continuationSeparator" w:id="1">
    <w:p w:rsidR="006F42D6" w:rsidRDefault="006F42D6" w:rsidP="002A54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2D6" w:rsidRDefault="006F42D6" w:rsidP="002A544E">
      <w:pPr>
        <w:spacing w:after="0" w:line="240" w:lineRule="auto"/>
      </w:pPr>
      <w:r>
        <w:separator/>
      </w:r>
    </w:p>
  </w:footnote>
  <w:footnote w:type="continuationSeparator" w:id="1">
    <w:p w:rsidR="006F42D6" w:rsidRDefault="006F42D6" w:rsidP="002A54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E5D2E"/>
    <w:multiLevelType w:val="multilevel"/>
    <w:tmpl w:val="A9BAD20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544E"/>
    <w:rsid w:val="001C0272"/>
    <w:rsid w:val="002A544E"/>
    <w:rsid w:val="003B1929"/>
    <w:rsid w:val="005C6CC3"/>
    <w:rsid w:val="005F14DF"/>
    <w:rsid w:val="006F1F99"/>
    <w:rsid w:val="006F42D6"/>
    <w:rsid w:val="007D3903"/>
    <w:rsid w:val="00882DDB"/>
    <w:rsid w:val="00AF6565"/>
    <w:rsid w:val="00B12AC5"/>
    <w:rsid w:val="00C27B5A"/>
    <w:rsid w:val="00E81A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A4F"/>
  </w:style>
  <w:style w:type="paragraph" w:styleId="Heading1">
    <w:name w:val="heading 1"/>
    <w:basedOn w:val="Normal1"/>
    <w:next w:val="Normal1"/>
    <w:rsid w:val="002A544E"/>
    <w:pPr>
      <w:keepNext/>
      <w:keepLines/>
      <w:spacing w:before="480" w:after="120"/>
      <w:outlineLvl w:val="0"/>
    </w:pPr>
    <w:rPr>
      <w:b/>
      <w:sz w:val="48"/>
      <w:szCs w:val="48"/>
    </w:rPr>
  </w:style>
  <w:style w:type="paragraph" w:styleId="Heading2">
    <w:name w:val="heading 2"/>
    <w:basedOn w:val="Normal1"/>
    <w:next w:val="Normal1"/>
    <w:rsid w:val="002A544E"/>
    <w:pPr>
      <w:keepNext/>
      <w:keepLines/>
      <w:spacing w:before="360" w:after="80"/>
      <w:outlineLvl w:val="1"/>
    </w:pPr>
    <w:rPr>
      <w:b/>
      <w:sz w:val="36"/>
      <w:szCs w:val="36"/>
    </w:rPr>
  </w:style>
  <w:style w:type="paragraph" w:styleId="Heading3">
    <w:name w:val="heading 3"/>
    <w:basedOn w:val="Normal1"/>
    <w:next w:val="Normal1"/>
    <w:rsid w:val="002A544E"/>
    <w:pPr>
      <w:keepNext/>
      <w:keepLines/>
      <w:spacing w:before="280" w:after="80"/>
      <w:outlineLvl w:val="2"/>
    </w:pPr>
    <w:rPr>
      <w:b/>
      <w:sz w:val="28"/>
      <w:szCs w:val="28"/>
    </w:rPr>
  </w:style>
  <w:style w:type="paragraph" w:styleId="Heading4">
    <w:name w:val="heading 4"/>
    <w:basedOn w:val="Normal1"/>
    <w:next w:val="Normal1"/>
    <w:rsid w:val="002A544E"/>
    <w:pPr>
      <w:keepNext/>
      <w:keepLines/>
      <w:spacing w:before="240" w:after="40"/>
      <w:outlineLvl w:val="3"/>
    </w:pPr>
    <w:rPr>
      <w:b/>
      <w:sz w:val="24"/>
      <w:szCs w:val="24"/>
    </w:rPr>
  </w:style>
  <w:style w:type="paragraph" w:styleId="Heading5">
    <w:name w:val="heading 5"/>
    <w:basedOn w:val="Normal1"/>
    <w:next w:val="Normal1"/>
    <w:rsid w:val="002A544E"/>
    <w:pPr>
      <w:keepNext/>
      <w:keepLines/>
      <w:spacing w:before="220" w:after="40"/>
      <w:outlineLvl w:val="4"/>
    </w:pPr>
    <w:rPr>
      <w:b/>
    </w:rPr>
  </w:style>
  <w:style w:type="paragraph" w:styleId="Heading6">
    <w:name w:val="heading 6"/>
    <w:basedOn w:val="Normal1"/>
    <w:next w:val="Normal1"/>
    <w:rsid w:val="002A544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A544E"/>
  </w:style>
  <w:style w:type="paragraph" w:styleId="Title">
    <w:name w:val="Title"/>
    <w:basedOn w:val="Normal1"/>
    <w:next w:val="Normal1"/>
    <w:rsid w:val="002A544E"/>
    <w:pPr>
      <w:keepNext/>
      <w:keepLines/>
      <w:spacing w:before="480" w:after="120"/>
    </w:pPr>
    <w:rPr>
      <w:b/>
      <w:sz w:val="72"/>
      <w:szCs w:val="72"/>
    </w:rPr>
  </w:style>
  <w:style w:type="paragraph" w:styleId="Subtitle">
    <w:name w:val="Subtitle"/>
    <w:basedOn w:val="Normal1"/>
    <w:next w:val="Normal1"/>
    <w:rsid w:val="002A544E"/>
    <w:pPr>
      <w:keepNext/>
      <w:keepLines/>
      <w:spacing w:before="360" w:after="80"/>
    </w:pPr>
    <w:rPr>
      <w:rFonts w:ascii="Georgia" w:eastAsia="Georgia" w:hAnsi="Georgia" w:cs="Georgia"/>
      <w:i/>
      <w:color w:val="666666"/>
      <w:sz w:val="48"/>
      <w:szCs w:val="48"/>
    </w:rPr>
  </w:style>
  <w:style w:type="table" w:customStyle="1" w:styleId="a">
    <w:basedOn w:val="TableNormal"/>
    <w:rsid w:val="002A544E"/>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2A544E"/>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882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DDB"/>
    <w:rPr>
      <w:rFonts w:ascii="Tahoma" w:hAnsi="Tahoma" w:cs="Tahoma"/>
      <w:sz w:val="16"/>
      <w:szCs w:val="16"/>
    </w:rPr>
  </w:style>
  <w:style w:type="paragraph" w:styleId="Header">
    <w:name w:val="header"/>
    <w:basedOn w:val="Normal"/>
    <w:link w:val="HeaderChar"/>
    <w:uiPriority w:val="99"/>
    <w:unhideWhenUsed/>
    <w:rsid w:val="003B1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929"/>
  </w:style>
  <w:style w:type="paragraph" w:styleId="Footer">
    <w:name w:val="footer"/>
    <w:basedOn w:val="Normal"/>
    <w:link w:val="FooterChar"/>
    <w:uiPriority w:val="99"/>
    <w:unhideWhenUsed/>
    <w:rsid w:val="003B1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92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350</Words>
  <Characters>1999</Characters>
  <Application>Microsoft Office Word</Application>
  <DocSecurity>0</DocSecurity>
  <Lines>16</Lines>
  <Paragraphs>4</Paragraphs>
  <ScaleCrop>false</ScaleCrop>
  <Company>Microsoft</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Keenswijk-Fung A Loi</dc:creator>
  <cp:lastModifiedBy>Eartha</cp:lastModifiedBy>
  <cp:revision>6</cp:revision>
  <dcterms:created xsi:type="dcterms:W3CDTF">2022-06-13T15:32:00Z</dcterms:created>
  <dcterms:modified xsi:type="dcterms:W3CDTF">2022-07-05T18:30:00Z</dcterms:modified>
</cp:coreProperties>
</file>