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0554" w14:textId="140A6760" w:rsidR="00C372A6" w:rsidRPr="00C372A6" w:rsidRDefault="006C31A5" w:rsidP="00C372A6">
      <w:pPr>
        <w:pStyle w:val="Normal1"/>
        <w:rPr>
          <w:b/>
          <w:bCs/>
          <w:lang w:val="nl-NL"/>
        </w:rPr>
      </w:pPr>
      <w:r w:rsidRPr="00C372A6">
        <w:rPr>
          <w:b/>
          <w:bCs/>
          <w:lang w:val="nl-NL"/>
        </w:rPr>
        <w:t>Competency exam results</w:t>
      </w:r>
      <w:r w:rsidR="00C372A6" w:rsidRPr="00C372A6">
        <w:rPr>
          <w:b/>
          <w:bCs/>
          <w:lang w:val="nl-NL"/>
        </w:rPr>
        <w:t xml:space="preserve"> / </w:t>
      </w:r>
      <w:r w:rsidR="00C372A6" w:rsidRPr="00C372A6">
        <w:rPr>
          <w:b/>
          <w:bCs/>
          <w:lang w:val="nl-NL"/>
        </w:rPr>
        <w:t>Resultaten van het competentie-examen</w:t>
      </w:r>
    </w:p>
    <w:p w14:paraId="46AFC27A" w14:textId="2B6F4C12" w:rsidR="00BA4E10" w:rsidRPr="00C372A6" w:rsidRDefault="00BA4E10" w:rsidP="00C372A6">
      <w:pPr>
        <w:pStyle w:val="Normal1"/>
        <w:rPr>
          <w:lang w:val="nl-NL"/>
        </w:rPr>
      </w:pPr>
    </w:p>
    <w:p w14:paraId="46AFC27B" w14:textId="053EAD6E" w:rsidR="00BA4E10" w:rsidRPr="00C372A6" w:rsidRDefault="006C31A5">
      <w:pPr>
        <w:pStyle w:val="Normal1"/>
        <w:numPr>
          <w:ilvl w:val="0"/>
          <w:numId w:val="1"/>
        </w:numPr>
        <w:pBdr>
          <w:top w:val="nil"/>
          <w:left w:val="nil"/>
          <w:bottom w:val="nil"/>
          <w:right w:val="nil"/>
          <w:between w:val="nil"/>
        </w:pBdr>
        <w:spacing w:after="0" w:line="240" w:lineRule="auto"/>
        <w:rPr>
          <w:b/>
          <w:bCs/>
          <w:color w:val="000000"/>
          <w:highlight w:val="white"/>
          <w:lang w:val="nl-NL"/>
        </w:rPr>
      </w:pPr>
      <w:r w:rsidRPr="00C372A6">
        <w:rPr>
          <w:b/>
          <w:color w:val="000000"/>
          <w:highlight w:val="white"/>
          <w:lang w:val="nl-NL"/>
        </w:rPr>
        <w:t>4.1</w:t>
      </w:r>
      <w:r w:rsidRPr="00C372A6">
        <w:rPr>
          <w:b/>
          <w:color w:val="000000"/>
          <w:lang w:val="nl-NL"/>
        </w:rPr>
        <w:t xml:space="preserve">.1 Percentage of children/young </w:t>
      </w:r>
      <w:r w:rsidRPr="00C372A6">
        <w:rPr>
          <w:b/>
          <w:color w:val="000000"/>
          <w:highlight w:val="white"/>
          <w:lang w:val="nl-NL"/>
        </w:rPr>
        <w:t>people who achieve minimum proficiency level in reading at the end of primary education</w:t>
      </w:r>
      <w:r w:rsidR="00EA1E09" w:rsidRPr="00C372A6">
        <w:rPr>
          <w:b/>
          <w:color w:val="000000"/>
          <w:highlight w:val="white"/>
          <w:lang w:val="nl-NL"/>
        </w:rPr>
        <w:t xml:space="preserve"> 2015-2019</w:t>
      </w:r>
      <w:r w:rsidR="00C372A6">
        <w:rPr>
          <w:lang w:val="nl-NL"/>
        </w:rPr>
        <w:t xml:space="preserve"> / </w:t>
      </w:r>
      <w:r w:rsidR="00C372A6" w:rsidRPr="00C372A6">
        <w:rPr>
          <w:lang w:val="nl-NL"/>
        </w:rPr>
        <w:t xml:space="preserve"> </w:t>
      </w:r>
      <w:r w:rsidR="00C372A6" w:rsidRPr="00C372A6">
        <w:rPr>
          <w:b/>
          <w:bCs/>
          <w:lang w:val="nl-NL"/>
        </w:rPr>
        <w:t>Percentage kinderen / jongeren dat aan het einde van het basisonderwijs 2015-2019 een minimumvaardigheid in lezen heeft bereikt</w:t>
      </w:r>
    </w:p>
    <w:p w14:paraId="46AFC27C" w14:textId="77777777" w:rsidR="00BA4E10" w:rsidRPr="00C372A6" w:rsidRDefault="00BA4E10">
      <w:pPr>
        <w:pStyle w:val="Normal1"/>
        <w:spacing w:after="0" w:line="240" w:lineRule="auto"/>
        <w:rPr>
          <w:b/>
          <w:color w:val="000000"/>
          <w:highlight w:val="white"/>
          <w:lang w:val="nl-NL"/>
        </w:rPr>
      </w:pP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2045"/>
        <w:gridCol w:w="1965"/>
        <w:gridCol w:w="3601"/>
      </w:tblGrid>
      <w:tr w:rsidR="00BA4E10" w:rsidRPr="00C372A6" w14:paraId="46AFC281" w14:textId="77777777">
        <w:trPr>
          <w:trHeight w:val="560"/>
          <w:jc w:val="center"/>
        </w:trPr>
        <w:tc>
          <w:tcPr>
            <w:tcW w:w="1965" w:type="dxa"/>
            <w:shd w:val="clear" w:color="auto" w:fill="92D050"/>
            <w:vAlign w:val="center"/>
          </w:tcPr>
          <w:p w14:paraId="46AFC27D" w14:textId="3D7A0D26" w:rsidR="00BA4E10" w:rsidRDefault="006C31A5">
            <w:pPr>
              <w:pStyle w:val="Normal1"/>
              <w:spacing w:after="0" w:line="240" w:lineRule="auto"/>
              <w:jc w:val="center"/>
              <w:rPr>
                <w:b/>
                <w:sz w:val="24"/>
                <w:szCs w:val="24"/>
              </w:rPr>
            </w:pPr>
            <w:r>
              <w:rPr>
                <w:b/>
                <w:sz w:val="24"/>
                <w:szCs w:val="24"/>
              </w:rPr>
              <w:t>Year</w:t>
            </w:r>
            <w:r w:rsidR="00C372A6">
              <w:rPr>
                <w:b/>
                <w:sz w:val="24"/>
                <w:szCs w:val="24"/>
              </w:rPr>
              <w:t xml:space="preserve"> / </w:t>
            </w:r>
            <w:proofErr w:type="spellStart"/>
            <w:r w:rsidR="00C372A6">
              <w:rPr>
                <w:b/>
                <w:sz w:val="24"/>
                <w:szCs w:val="24"/>
              </w:rPr>
              <w:t>Jaar</w:t>
            </w:r>
            <w:proofErr w:type="spellEnd"/>
          </w:p>
        </w:tc>
        <w:tc>
          <w:tcPr>
            <w:tcW w:w="2045" w:type="dxa"/>
            <w:shd w:val="clear" w:color="auto" w:fill="92D050"/>
            <w:vAlign w:val="center"/>
          </w:tcPr>
          <w:p w14:paraId="46AFC27E" w14:textId="45111C2D" w:rsidR="00BA4E10" w:rsidRDefault="006C31A5">
            <w:pPr>
              <w:pStyle w:val="Normal1"/>
              <w:spacing w:after="0" w:line="240" w:lineRule="auto"/>
              <w:jc w:val="center"/>
              <w:rPr>
                <w:b/>
                <w:color w:val="000000"/>
              </w:rPr>
            </w:pPr>
            <w:r>
              <w:rPr>
                <w:b/>
                <w:color w:val="000000"/>
              </w:rPr>
              <w:t>Grade</w:t>
            </w:r>
            <w:r w:rsidR="00C372A6">
              <w:rPr>
                <w:b/>
                <w:color w:val="000000"/>
              </w:rPr>
              <w:t xml:space="preserve">/ </w:t>
            </w:r>
            <w:proofErr w:type="spellStart"/>
            <w:r w:rsidR="00C372A6">
              <w:rPr>
                <w:b/>
                <w:color w:val="000000"/>
              </w:rPr>
              <w:t>Klas</w:t>
            </w:r>
            <w:proofErr w:type="spellEnd"/>
            <w:r>
              <w:rPr>
                <w:b/>
                <w:color w:val="000000"/>
              </w:rPr>
              <w:t xml:space="preserve"> 3</w:t>
            </w:r>
          </w:p>
        </w:tc>
        <w:tc>
          <w:tcPr>
            <w:tcW w:w="1965" w:type="dxa"/>
            <w:shd w:val="clear" w:color="auto" w:fill="92D050"/>
            <w:vAlign w:val="center"/>
          </w:tcPr>
          <w:p w14:paraId="46AFC27F" w14:textId="4D07FDC5" w:rsidR="00BA4E10" w:rsidRDefault="006C31A5">
            <w:pPr>
              <w:pStyle w:val="Normal1"/>
              <w:spacing w:after="0" w:line="240" w:lineRule="auto"/>
              <w:jc w:val="center"/>
              <w:rPr>
                <w:b/>
                <w:color w:val="000000"/>
              </w:rPr>
            </w:pPr>
            <w:r>
              <w:rPr>
                <w:b/>
                <w:color w:val="000000"/>
              </w:rPr>
              <w:t>Grade</w:t>
            </w:r>
            <w:r w:rsidR="00C372A6">
              <w:rPr>
                <w:b/>
                <w:color w:val="000000"/>
              </w:rPr>
              <w:t xml:space="preserve">/ </w:t>
            </w:r>
            <w:proofErr w:type="spellStart"/>
            <w:r w:rsidR="00C372A6">
              <w:rPr>
                <w:b/>
                <w:color w:val="000000"/>
              </w:rPr>
              <w:t>Klas</w:t>
            </w:r>
            <w:proofErr w:type="spellEnd"/>
            <w:r>
              <w:rPr>
                <w:b/>
                <w:color w:val="000000"/>
              </w:rPr>
              <w:t xml:space="preserve"> 6</w:t>
            </w:r>
          </w:p>
        </w:tc>
        <w:tc>
          <w:tcPr>
            <w:tcW w:w="3601" w:type="dxa"/>
            <w:shd w:val="clear" w:color="auto" w:fill="92D050"/>
            <w:vAlign w:val="center"/>
          </w:tcPr>
          <w:p w14:paraId="46AFC280" w14:textId="31A2CD48" w:rsidR="00BA4E10" w:rsidRPr="00C372A6" w:rsidRDefault="006C31A5">
            <w:pPr>
              <w:pStyle w:val="Normal1"/>
              <w:spacing w:after="0" w:line="240" w:lineRule="auto"/>
              <w:jc w:val="center"/>
              <w:rPr>
                <w:b/>
                <w:color w:val="000000"/>
                <w:lang w:val="nl-NL"/>
              </w:rPr>
            </w:pPr>
            <w:r w:rsidRPr="00C372A6">
              <w:rPr>
                <w:b/>
                <w:color w:val="000000"/>
                <w:lang w:val="nl-NL"/>
              </w:rPr>
              <w:t>Total primary (grade 3 en 6)</w:t>
            </w:r>
            <w:r w:rsidR="00C372A6" w:rsidRPr="00C372A6">
              <w:rPr>
                <w:b/>
                <w:color w:val="000000"/>
                <w:lang w:val="nl-NL"/>
              </w:rPr>
              <w:t xml:space="preserve"> /   Totaal GLO (klas 3 en</w:t>
            </w:r>
            <w:r w:rsidR="00C372A6">
              <w:rPr>
                <w:b/>
                <w:color w:val="000000"/>
                <w:lang w:val="nl-NL"/>
              </w:rPr>
              <w:t xml:space="preserve"> klas 6)</w:t>
            </w:r>
          </w:p>
        </w:tc>
      </w:tr>
      <w:tr w:rsidR="00BA4E10" w14:paraId="46AFC286" w14:textId="77777777">
        <w:trPr>
          <w:trHeight w:val="280"/>
          <w:jc w:val="center"/>
        </w:trPr>
        <w:tc>
          <w:tcPr>
            <w:tcW w:w="1965" w:type="dxa"/>
            <w:shd w:val="clear" w:color="auto" w:fill="auto"/>
            <w:vAlign w:val="center"/>
          </w:tcPr>
          <w:p w14:paraId="46AFC282" w14:textId="77777777" w:rsidR="00BA4E10" w:rsidRDefault="006C31A5">
            <w:pPr>
              <w:pStyle w:val="Normal1"/>
              <w:spacing w:after="0" w:line="240" w:lineRule="auto"/>
              <w:jc w:val="center"/>
              <w:rPr>
                <w:color w:val="000000"/>
              </w:rPr>
            </w:pPr>
            <w:r>
              <w:rPr>
                <w:color w:val="000000"/>
              </w:rPr>
              <w:t>2015</w:t>
            </w:r>
          </w:p>
        </w:tc>
        <w:tc>
          <w:tcPr>
            <w:tcW w:w="2045" w:type="dxa"/>
            <w:shd w:val="clear" w:color="auto" w:fill="auto"/>
            <w:vAlign w:val="center"/>
          </w:tcPr>
          <w:p w14:paraId="46AFC283" w14:textId="77777777" w:rsidR="00BA4E10" w:rsidRDefault="006C31A5">
            <w:pPr>
              <w:pStyle w:val="Normal1"/>
              <w:spacing w:after="0" w:line="240" w:lineRule="auto"/>
              <w:jc w:val="center"/>
              <w:rPr>
                <w:color w:val="000000"/>
              </w:rPr>
            </w:pPr>
            <w:r>
              <w:rPr>
                <w:color w:val="000000"/>
              </w:rPr>
              <w:t>12.9</w:t>
            </w:r>
          </w:p>
        </w:tc>
        <w:tc>
          <w:tcPr>
            <w:tcW w:w="1965" w:type="dxa"/>
            <w:shd w:val="clear" w:color="auto" w:fill="auto"/>
            <w:vAlign w:val="center"/>
          </w:tcPr>
          <w:p w14:paraId="46AFC284" w14:textId="77777777" w:rsidR="00BA4E10" w:rsidRDefault="006C31A5">
            <w:pPr>
              <w:pStyle w:val="Normal1"/>
              <w:spacing w:after="0" w:line="240" w:lineRule="auto"/>
              <w:jc w:val="center"/>
              <w:rPr>
                <w:color w:val="000000"/>
              </w:rPr>
            </w:pPr>
            <w:r>
              <w:rPr>
                <w:color w:val="000000"/>
              </w:rPr>
              <w:t>59.9</w:t>
            </w:r>
          </w:p>
        </w:tc>
        <w:tc>
          <w:tcPr>
            <w:tcW w:w="3601" w:type="dxa"/>
            <w:shd w:val="clear" w:color="auto" w:fill="auto"/>
            <w:vAlign w:val="center"/>
          </w:tcPr>
          <w:p w14:paraId="46AFC285" w14:textId="77777777" w:rsidR="00BA4E10" w:rsidRDefault="006C31A5">
            <w:pPr>
              <w:pStyle w:val="Normal1"/>
              <w:spacing w:after="0" w:line="240" w:lineRule="auto"/>
              <w:jc w:val="center"/>
              <w:rPr>
                <w:color w:val="000000"/>
              </w:rPr>
            </w:pPr>
            <w:r>
              <w:rPr>
                <w:color w:val="000000"/>
              </w:rPr>
              <w:t>72.8</w:t>
            </w:r>
          </w:p>
        </w:tc>
      </w:tr>
      <w:tr w:rsidR="00BA4E10" w14:paraId="46AFC28B" w14:textId="77777777">
        <w:trPr>
          <w:trHeight w:val="280"/>
          <w:jc w:val="center"/>
        </w:trPr>
        <w:tc>
          <w:tcPr>
            <w:tcW w:w="1965" w:type="dxa"/>
            <w:shd w:val="clear" w:color="auto" w:fill="auto"/>
            <w:vAlign w:val="center"/>
          </w:tcPr>
          <w:p w14:paraId="46AFC287" w14:textId="77777777" w:rsidR="00BA4E10" w:rsidRDefault="006C31A5">
            <w:pPr>
              <w:pStyle w:val="Normal1"/>
              <w:spacing w:after="0" w:line="240" w:lineRule="auto"/>
              <w:jc w:val="center"/>
              <w:rPr>
                <w:color w:val="000000"/>
              </w:rPr>
            </w:pPr>
            <w:r>
              <w:rPr>
                <w:color w:val="000000"/>
              </w:rPr>
              <w:t>2016</w:t>
            </w:r>
          </w:p>
        </w:tc>
        <w:tc>
          <w:tcPr>
            <w:tcW w:w="2045" w:type="dxa"/>
            <w:shd w:val="clear" w:color="auto" w:fill="auto"/>
            <w:vAlign w:val="center"/>
          </w:tcPr>
          <w:p w14:paraId="46AFC288" w14:textId="77777777" w:rsidR="00BA4E10" w:rsidRDefault="006C31A5">
            <w:pPr>
              <w:pStyle w:val="Normal1"/>
              <w:spacing w:after="0" w:line="240" w:lineRule="auto"/>
              <w:jc w:val="center"/>
              <w:rPr>
                <w:color w:val="000000"/>
              </w:rPr>
            </w:pPr>
            <w:r>
              <w:rPr>
                <w:color w:val="000000"/>
              </w:rPr>
              <w:t>13.1</w:t>
            </w:r>
          </w:p>
        </w:tc>
        <w:tc>
          <w:tcPr>
            <w:tcW w:w="1965" w:type="dxa"/>
            <w:shd w:val="clear" w:color="auto" w:fill="auto"/>
            <w:vAlign w:val="center"/>
          </w:tcPr>
          <w:p w14:paraId="46AFC289" w14:textId="77777777" w:rsidR="00BA4E10" w:rsidRDefault="006C31A5">
            <w:pPr>
              <w:pStyle w:val="Normal1"/>
              <w:spacing w:after="0" w:line="240" w:lineRule="auto"/>
              <w:jc w:val="center"/>
              <w:rPr>
                <w:color w:val="000000"/>
              </w:rPr>
            </w:pPr>
            <w:r>
              <w:rPr>
                <w:color w:val="000000"/>
              </w:rPr>
              <w:t>58.8</w:t>
            </w:r>
          </w:p>
        </w:tc>
        <w:tc>
          <w:tcPr>
            <w:tcW w:w="3601" w:type="dxa"/>
            <w:shd w:val="clear" w:color="auto" w:fill="auto"/>
            <w:vAlign w:val="center"/>
          </w:tcPr>
          <w:p w14:paraId="46AFC28A" w14:textId="77777777" w:rsidR="00BA4E10" w:rsidRDefault="006C31A5">
            <w:pPr>
              <w:pStyle w:val="Normal1"/>
              <w:spacing w:after="0" w:line="240" w:lineRule="auto"/>
              <w:jc w:val="center"/>
              <w:rPr>
                <w:color w:val="000000"/>
              </w:rPr>
            </w:pPr>
            <w:r>
              <w:rPr>
                <w:color w:val="000000"/>
              </w:rPr>
              <w:t>71.9</w:t>
            </w:r>
          </w:p>
        </w:tc>
      </w:tr>
      <w:tr w:rsidR="00BA4E10" w14:paraId="46AFC290" w14:textId="77777777">
        <w:trPr>
          <w:trHeight w:val="280"/>
          <w:jc w:val="center"/>
        </w:trPr>
        <w:tc>
          <w:tcPr>
            <w:tcW w:w="1965" w:type="dxa"/>
            <w:shd w:val="clear" w:color="auto" w:fill="auto"/>
            <w:vAlign w:val="center"/>
          </w:tcPr>
          <w:p w14:paraId="46AFC28C" w14:textId="77777777" w:rsidR="00BA4E10" w:rsidRDefault="006C31A5">
            <w:pPr>
              <w:pStyle w:val="Normal1"/>
              <w:spacing w:after="0" w:line="240" w:lineRule="auto"/>
              <w:jc w:val="center"/>
              <w:rPr>
                <w:color w:val="000000"/>
              </w:rPr>
            </w:pPr>
            <w:r>
              <w:rPr>
                <w:color w:val="000000"/>
              </w:rPr>
              <w:t>2017</w:t>
            </w:r>
          </w:p>
        </w:tc>
        <w:tc>
          <w:tcPr>
            <w:tcW w:w="2045" w:type="dxa"/>
            <w:shd w:val="clear" w:color="auto" w:fill="auto"/>
            <w:vAlign w:val="center"/>
          </w:tcPr>
          <w:p w14:paraId="46AFC28D" w14:textId="77777777" w:rsidR="00BA4E10" w:rsidRDefault="006C31A5">
            <w:pPr>
              <w:pStyle w:val="Normal1"/>
              <w:spacing w:after="0" w:line="240" w:lineRule="auto"/>
              <w:jc w:val="center"/>
              <w:rPr>
                <w:color w:val="000000"/>
              </w:rPr>
            </w:pPr>
            <w:r>
              <w:rPr>
                <w:color w:val="000000"/>
              </w:rPr>
              <w:t>12.8</w:t>
            </w:r>
          </w:p>
        </w:tc>
        <w:tc>
          <w:tcPr>
            <w:tcW w:w="1965" w:type="dxa"/>
            <w:shd w:val="clear" w:color="auto" w:fill="auto"/>
            <w:vAlign w:val="center"/>
          </w:tcPr>
          <w:p w14:paraId="46AFC28E" w14:textId="77777777" w:rsidR="00BA4E10" w:rsidRDefault="006C31A5">
            <w:pPr>
              <w:pStyle w:val="Normal1"/>
              <w:spacing w:after="0" w:line="240" w:lineRule="auto"/>
              <w:jc w:val="center"/>
              <w:rPr>
                <w:color w:val="000000"/>
              </w:rPr>
            </w:pPr>
            <w:r>
              <w:rPr>
                <w:color w:val="000000"/>
              </w:rPr>
              <w:t>54.2</w:t>
            </w:r>
          </w:p>
        </w:tc>
        <w:tc>
          <w:tcPr>
            <w:tcW w:w="3601" w:type="dxa"/>
            <w:shd w:val="clear" w:color="auto" w:fill="auto"/>
            <w:vAlign w:val="center"/>
          </w:tcPr>
          <w:p w14:paraId="46AFC28F" w14:textId="77777777" w:rsidR="00BA4E10" w:rsidRDefault="006C31A5">
            <w:pPr>
              <w:pStyle w:val="Normal1"/>
              <w:spacing w:after="0" w:line="240" w:lineRule="auto"/>
              <w:jc w:val="center"/>
              <w:rPr>
                <w:color w:val="000000"/>
              </w:rPr>
            </w:pPr>
            <w:r>
              <w:rPr>
                <w:color w:val="000000"/>
              </w:rPr>
              <w:t>67</w:t>
            </w:r>
            <w:r w:rsidR="00EA1E09">
              <w:rPr>
                <w:color w:val="000000"/>
              </w:rPr>
              <w:t>.0</w:t>
            </w:r>
          </w:p>
        </w:tc>
      </w:tr>
      <w:tr w:rsidR="00BA4E10" w14:paraId="46AFC295" w14:textId="77777777">
        <w:trPr>
          <w:trHeight w:val="280"/>
          <w:jc w:val="center"/>
        </w:trPr>
        <w:tc>
          <w:tcPr>
            <w:tcW w:w="1965" w:type="dxa"/>
            <w:shd w:val="clear" w:color="auto" w:fill="auto"/>
            <w:vAlign w:val="center"/>
          </w:tcPr>
          <w:p w14:paraId="46AFC291" w14:textId="77777777" w:rsidR="00BA4E10" w:rsidRDefault="006C31A5">
            <w:pPr>
              <w:pStyle w:val="Normal1"/>
              <w:spacing w:after="0" w:line="240" w:lineRule="auto"/>
              <w:jc w:val="center"/>
              <w:rPr>
                <w:color w:val="000000"/>
              </w:rPr>
            </w:pPr>
            <w:r>
              <w:rPr>
                <w:color w:val="000000"/>
              </w:rPr>
              <w:t>2018</w:t>
            </w:r>
          </w:p>
        </w:tc>
        <w:tc>
          <w:tcPr>
            <w:tcW w:w="2045" w:type="dxa"/>
            <w:shd w:val="clear" w:color="auto" w:fill="auto"/>
            <w:vAlign w:val="center"/>
          </w:tcPr>
          <w:p w14:paraId="46AFC292" w14:textId="77777777" w:rsidR="00BA4E10" w:rsidRDefault="006C31A5">
            <w:pPr>
              <w:pStyle w:val="Normal1"/>
              <w:spacing w:after="0" w:line="240" w:lineRule="auto"/>
              <w:jc w:val="center"/>
              <w:rPr>
                <w:color w:val="000000"/>
              </w:rPr>
            </w:pPr>
            <w:proofErr w:type="spellStart"/>
            <w:r>
              <w:rPr>
                <w:color w:val="000000"/>
              </w:rPr>
              <w:t>na</w:t>
            </w:r>
            <w:proofErr w:type="spellEnd"/>
          </w:p>
        </w:tc>
        <w:tc>
          <w:tcPr>
            <w:tcW w:w="1965" w:type="dxa"/>
            <w:shd w:val="clear" w:color="auto" w:fill="auto"/>
            <w:vAlign w:val="center"/>
          </w:tcPr>
          <w:p w14:paraId="46AFC293" w14:textId="77777777" w:rsidR="00BA4E10" w:rsidRDefault="006C31A5">
            <w:pPr>
              <w:pStyle w:val="Normal1"/>
              <w:spacing w:after="0" w:line="240" w:lineRule="auto"/>
              <w:jc w:val="center"/>
              <w:rPr>
                <w:color w:val="000000"/>
              </w:rPr>
            </w:pPr>
            <w:r>
              <w:rPr>
                <w:color w:val="000000"/>
              </w:rPr>
              <w:t>52.5</w:t>
            </w:r>
          </w:p>
        </w:tc>
        <w:tc>
          <w:tcPr>
            <w:tcW w:w="3601" w:type="dxa"/>
            <w:shd w:val="clear" w:color="auto" w:fill="auto"/>
            <w:vAlign w:val="center"/>
          </w:tcPr>
          <w:p w14:paraId="46AFC294" w14:textId="77777777" w:rsidR="00BA4E10" w:rsidRDefault="006C31A5">
            <w:pPr>
              <w:pStyle w:val="Normal1"/>
              <w:spacing w:after="0" w:line="240" w:lineRule="auto"/>
              <w:jc w:val="center"/>
              <w:rPr>
                <w:color w:val="000000"/>
              </w:rPr>
            </w:pPr>
            <w:r>
              <w:rPr>
                <w:color w:val="000000"/>
              </w:rPr>
              <w:t>52.5</w:t>
            </w:r>
          </w:p>
        </w:tc>
      </w:tr>
      <w:tr w:rsidR="00BA4E10" w14:paraId="46AFC29A" w14:textId="77777777">
        <w:trPr>
          <w:trHeight w:val="280"/>
          <w:jc w:val="center"/>
        </w:trPr>
        <w:tc>
          <w:tcPr>
            <w:tcW w:w="1965" w:type="dxa"/>
            <w:shd w:val="clear" w:color="auto" w:fill="auto"/>
            <w:vAlign w:val="center"/>
          </w:tcPr>
          <w:p w14:paraId="46AFC296" w14:textId="77777777" w:rsidR="00BA4E10" w:rsidRDefault="006C31A5">
            <w:pPr>
              <w:pStyle w:val="Normal1"/>
              <w:spacing w:after="0" w:line="240" w:lineRule="auto"/>
              <w:jc w:val="center"/>
              <w:rPr>
                <w:color w:val="000000"/>
              </w:rPr>
            </w:pPr>
            <w:r>
              <w:rPr>
                <w:color w:val="000000"/>
              </w:rPr>
              <w:t>2019</w:t>
            </w:r>
          </w:p>
        </w:tc>
        <w:tc>
          <w:tcPr>
            <w:tcW w:w="2045" w:type="dxa"/>
            <w:shd w:val="clear" w:color="auto" w:fill="auto"/>
            <w:vAlign w:val="center"/>
          </w:tcPr>
          <w:p w14:paraId="46AFC297" w14:textId="77777777" w:rsidR="00BA4E10" w:rsidRDefault="006C31A5">
            <w:pPr>
              <w:pStyle w:val="Normal1"/>
              <w:spacing w:after="0" w:line="240" w:lineRule="auto"/>
              <w:jc w:val="center"/>
              <w:rPr>
                <w:color w:val="000000"/>
              </w:rPr>
            </w:pPr>
            <w:proofErr w:type="spellStart"/>
            <w:r>
              <w:rPr>
                <w:color w:val="000000"/>
              </w:rPr>
              <w:t>na</w:t>
            </w:r>
            <w:proofErr w:type="spellEnd"/>
          </w:p>
        </w:tc>
        <w:tc>
          <w:tcPr>
            <w:tcW w:w="1965" w:type="dxa"/>
            <w:shd w:val="clear" w:color="auto" w:fill="auto"/>
            <w:vAlign w:val="center"/>
          </w:tcPr>
          <w:p w14:paraId="46AFC298" w14:textId="77777777" w:rsidR="00BA4E10" w:rsidRDefault="006C31A5">
            <w:pPr>
              <w:pStyle w:val="Normal1"/>
              <w:spacing w:after="0" w:line="240" w:lineRule="auto"/>
              <w:jc w:val="center"/>
              <w:rPr>
                <w:color w:val="000000"/>
              </w:rPr>
            </w:pPr>
            <w:r>
              <w:rPr>
                <w:color w:val="000000"/>
              </w:rPr>
              <w:t>58.9</w:t>
            </w:r>
          </w:p>
        </w:tc>
        <w:tc>
          <w:tcPr>
            <w:tcW w:w="3601" w:type="dxa"/>
            <w:shd w:val="clear" w:color="auto" w:fill="auto"/>
            <w:vAlign w:val="center"/>
          </w:tcPr>
          <w:p w14:paraId="46AFC299" w14:textId="77777777" w:rsidR="00BA4E10" w:rsidRDefault="006C31A5">
            <w:pPr>
              <w:pStyle w:val="Normal1"/>
              <w:spacing w:after="0" w:line="240" w:lineRule="auto"/>
              <w:jc w:val="center"/>
              <w:rPr>
                <w:color w:val="000000"/>
              </w:rPr>
            </w:pPr>
            <w:r>
              <w:rPr>
                <w:color w:val="000000"/>
              </w:rPr>
              <w:t>58.9</w:t>
            </w:r>
          </w:p>
        </w:tc>
      </w:tr>
    </w:tbl>
    <w:p w14:paraId="46AFC29B" w14:textId="77777777" w:rsidR="00BA4E10" w:rsidRDefault="00BA4E10">
      <w:pPr>
        <w:pStyle w:val="Normal1"/>
        <w:spacing w:after="0" w:line="240" w:lineRule="auto"/>
        <w:rPr>
          <w:b/>
          <w:color w:val="000000"/>
          <w:highlight w:val="white"/>
        </w:rPr>
      </w:pPr>
    </w:p>
    <w:p w14:paraId="46AFC29C" w14:textId="77777777" w:rsidR="00BA4E10" w:rsidRPr="00EA1E09" w:rsidRDefault="00BA4E10">
      <w:pPr>
        <w:pStyle w:val="Normal1"/>
        <w:spacing w:after="0" w:line="240" w:lineRule="auto"/>
        <w:jc w:val="center"/>
        <w:rPr>
          <w:color w:val="000000"/>
          <w:sz w:val="24"/>
          <w:szCs w:val="24"/>
          <w:highlight w:val="white"/>
          <w:lang w:val="nl-NL"/>
        </w:rPr>
      </w:pPr>
    </w:p>
    <w:p w14:paraId="46AFC29D" w14:textId="59EC241F" w:rsidR="00BA4E10" w:rsidRPr="00C372A6" w:rsidRDefault="006C31A5">
      <w:pPr>
        <w:pStyle w:val="Normal1"/>
        <w:numPr>
          <w:ilvl w:val="0"/>
          <w:numId w:val="1"/>
        </w:numPr>
        <w:pBdr>
          <w:top w:val="nil"/>
          <w:left w:val="nil"/>
          <w:bottom w:val="nil"/>
          <w:right w:val="nil"/>
          <w:between w:val="nil"/>
        </w:pBdr>
        <w:spacing w:after="0" w:line="240" w:lineRule="auto"/>
        <w:rPr>
          <w:b/>
          <w:color w:val="000000"/>
          <w:highlight w:val="white"/>
          <w:lang w:val="nl-NL"/>
        </w:rPr>
      </w:pPr>
      <w:r w:rsidRPr="00C372A6">
        <w:rPr>
          <w:b/>
          <w:color w:val="000000"/>
          <w:highlight w:val="white"/>
          <w:lang w:val="nl-NL"/>
        </w:rPr>
        <w:t>4.1.1 Percentages of young people who achieve minimum proficiency level in mathematics at the end of lower secondary education</w:t>
      </w:r>
      <w:r w:rsidR="00EA1E09" w:rsidRPr="00C372A6">
        <w:rPr>
          <w:b/>
          <w:color w:val="000000"/>
          <w:highlight w:val="white"/>
          <w:lang w:val="nl-NL"/>
        </w:rPr>
        <w:t xml:space="preserve"> 2015-2019</w:t>
      </w:r>
      <w:r w:rsidR="00C372A6" w:rsidRPr="00C372A6">
        <w:rPr>
          <w:b/>
          <w:color w:val="000000"/>
          <w:highlight w:val="white"/>
          <w:lang w:val="nl-NL"/>
        </w:rPr>
        <w:t xml:space="preserve"> / </w:t>
      </w:r>
      <w:r w:rsidR="00C372A6" w:rsidRPr="00C372A6">
        <w:rPr>
          <w:b/>
          <w:color w:val="000000"/>
          <w:lang w:val="nl-NL"/>
        </w:rPr>
        <w:t xml:space="preserve">Percentage jongeren dat aan het einde van het </w:t>
      </w:r>
      <w:r w:rsidR="00C372A6">
        <w:rPr>
          <w:b/>
          <w:color w:val="000000"/>
          <w:lang w:val="nl-NL"/>
        </w:rPr>
        <w:t>VOJ</w:t>
      </w:r>
      <w:bookmarkStart w:id="0" w:name="_GoBack"/>
      <w:bookmarkEnd w:id="0"/>
      <w:r w:rsidR="00C372A6" w:rsidRPr="00C372A6">
        <w:rPr>
          <w:b/>
          <w:color w:val="000000"/>
          <w:lang w:val="nl-NL"/>
        </w:rPr>
        <w:t xml:space="preserve"> 2015-2019 een minimumvaardigheidsniveau in de wiskunde heeft behaald</w:t>
      </w:r>
    </w:p>
    <w:p w14:paraId="46AFC29E" w14:textId="77777777" w:rsidR="00BA4E10" w:rsidRPr="00C372A6" w:rsidRDefault="00BA4E10">
      <w:pPr>
        <w:pStyle w:val="Normal1"/>
        <w:spacing w:after="0" w:line="240" w:lineRule="auto"/>
        <w:rPr>
          <w:color w:val="000000"/>
          <w:highlight w:val="white"/>
          <w:lang w:val="nl-NL"/>
        </w:rPr>
      </w:pPr>
    </w:p>
    <w:p w14:paraId="46AFC29F" w14:textId="77777777" w:rsidR="00BA4E10" w:rsidRPr="00C372A6" w:rsidRDefault="00BA4E10">
      <w:pPr>
        <w:pStyle w:val="Normal1"/>
        <w:rPr>
          <w:lang w:val="nl-NL"/>
        </w:rPr>
      </w:pPr>
    </w:p>
    <w:tbl>
      <w:tblPr>
        <w:tblStyle w:val="a0"/>
        <w:tblW w:w="9576" w:type="dxa"/>
        <w:jc w:val="center"/>
        <w:tblLayout w:type="fixed"/>
        <w:tblLook w:val="0400" w:firstRow="0" w:lastRow="0" w:firstColumn="0" w:lastColumn="0" w:noHBand="0" w:noVBand="1"/>
      </w:tblPr>
      <w:tblGrid>
        <w:gridCol w:w="3308"/>
        <w:gridCol w:w="6268"/>
      </w:tblGrid>
      <w:tr w:rsidR="00BA4E10" w:rsidRPr="00C372A6" w14:paraId="46AFC2A2" w14:textId="77777777">
        <w:trPr>
          <w:trHeight w:val="56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6AFC2A0" w14:textId="11710210" w:rsidR="00BA4E10" w:rsidRDefault="006C31A5">
            <w:pPr>
              <w:pStyle w:val="Normal1"/>
              <w:spacing w:after="0" w:line="240" w:lineRule="auto"/>
              <w:jc w:val="center"/>
              <w:rPr>
                <w:b/>
                <w:sz w:val="24"/>
                <w:szCs w:val="24"/>
              </w:rPr>
            </w:pPr>
            <w:r>
              <w:rPr>
                <w:b/>
                <w:sz w:val="24"/>
                <w:szCs w:val="24"/>
              </w:rPr>
              <w:t>Year</w:t>
            </w:r>
            <w:r w:rsidR="00C372A6">
              <w:rPr>
                <w:b/>
                <w:sz w:val="24"/>
                <w:szCs w:val="24"/>
              </w:rPr>
              <w:t xml:space="preserve"> / </w:t>
            </w:r>
            <w:proofErr w:type="spellStart"/>
            <w:r w:rsidR="00C372A6">
              <w:rPr>
                <w:b/>
                <w:sz w:val="24"/>
                <w:szCs w:val="24"/>
              </w:rPr>
              <w:t>Jaar</w:t>
            </w:r>
            <w:proofErr w:type="spellEnd"/>
          </w:p>
        </w:tc>
        <w:tc>
          <w:tcPr>
            <w:tcW w:w="626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6AFC2A1" w14:textId="1D4992DD" w:rsidR="00BA4E10" w:rsidRPr="00C372A6" w:rsidRDefault="006C31A5">
            <w:pPr>
              <w:pStyle w:val="Normal1"/>
              <w:spacing w:after="0" w:line="240" w:lineRule="auto"/>
              <w:jc w:val="center"/>
              <w:rPr>
                <w:b/>
                <w:color w:val="000000"/>
                <w:lang w:val="nl-NL"/>
              </w:rPr>
            </w:pPr>
            <w:r w:rsidRPr="00C372A6">
              <w:rPr>
                <w:b/>
                <w:color w:val="000000"/>
                <w:lang w:val="nl-NL"/>
              </w:rPr>
              <w:t>Lower secondary</w:t>
            </w:r>
            <w:r w:rsidR="00C372A6" w:rsidRPr="00C372A6">
              <w:rPr>
                <w:b/>
                <w:color w:val="000000"/>
                <w:lang w:val="nl-NL"/>
              </w:rPr>
              <w:t xml:space="preserve"> / Voorgezet Onderwijs v</w:t>
            </w:r>
            <w:r w:rsidR="00C372A6">
              <w:rPr>
                <w:b/>
                <w:color w:val="000000"/>
                <w:lang w:val="nl-NL"/>
              </w:rPr>
              <w:t>oor Junioren</w:t>
            </w:r>
          </w:p>
        </w:tc>
      </w:tr>
      <w:tr w:rsidR="00BA4E10" w14:paraId="46AFC2A5" w14:textId="77777777">
        <w:trPr>
          <w:trHeight w:val="28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C2A3" w14:textId="77777777" w:rsidR="00BA4E10" w:rsidRDefault="006C31A5">
            <w:pPr>
              <w:pStyle w:val="Normal1"/>
              <w:spacing w:after="0" w:line="240" w:lineRule="auto"/>
              <w:jc w:val="center"/>
              <w:rPr>
                <w:color w:val="000000"/>
              </w:rPr>
            </w:pPr>
            <w:r>
              <w:rPr>
                <w:color w:val="000000"/>
              </w:rPr>
              <w:t>2015</w:t>
            </w:r>
          </w:p>
        </w:tc>
        <w:tc>
          <w:tcPr>
            <w:tcW w:w="6268" w:type="dxa"/>
            <w:tcBorders>
              <w:top w:val="nil"/>
              <w:left w:val="nil"/>
              <w:bottom w:val="single" w:sz="4" w:space="0" w:color="000000"/>
              <w:right w:val="single" w:sz="4" w:space="0" w:color="000000"/>
            </w:tcBorders>
            <w:shd w:val="clear" w:color="auto" w:fill="auto"/>
            <w:vAlign w:val="center"/>
          </w:tcPr>
          <w:p w14:paraId="46AFC2A4" w14:textId="77777777" w:rsidR="00BA4E10" w:rsidRDefault="006C31A5">
            <w:pPr>
              <w:pStyle w:val="Normal1"/>
              <w:spacing w:after="0" w:line="240" w:lineRule="auto"/>
              <w:jc w:val="center"/>
              <w:rPr>
                <w:color w:val="000000"/>
              </w:rPr>
            </w:pPr>
            <w:r>
              <w:rPr>
                <w:color w:val="000000"/>
              </w:rPr>
              <w:t>47.4</w:t>
            </w:r>
          </w:p>
        </w:tc>
      </w:tr>
      <w:tr w:rsidR="00BA4E10" w14:paraId="46AFC2A8" w14:textId="77777777">
        <w:trPr>
          <w:trHeight w:val="280"/>
          <w:jc w:val="center"/>
        </w:trPr>
        <w:tc>
          <w:tcPr>
            <w:tcW w:w="3308" w:type="dxa"/>
            <w:tcBorders>
              <w:top w:val="nil"/>
              <w:left w:val="single" w:sz="4" w:space="0" w:color="000000"/>
              <w:bottom w:val="single" w:sz="4" w:space="0" w:color="000000"/>
              <w:right w:val="single" w:sz="4" w:space="0" w:color="000000"/>
            </w:tcBorders>
            <w:shd w:val="clear" w:color="auto" w:fill="auto"/>
            <w:vAlign w:val="center"/>
          </w:tcPr>
          <w:p w14:paraId="46AFC2A6" w14:textId="77777777" w:rsidR="00BA4E10" w:rsidRDefault="006C31A5">
            <w:pPr>
              <w:pStyle w:val="Normal1"/>
              <w:spacing w:after="0" w:line="240" w:lineRule="auto"/>
              <w:jc w:val="center"/>
              <w:rPr>
                <w:color w:val="000000"/>
              </w:rPr>
            </w:pPr>
            <w:r>
              <w:rPr>
                <w:color w:val="000000"/>
              </w:rPr>
              <w:t>2016</w:t>
            </w:r>
          </w:p>
        </w:tc>
        <w:tc>
          <w:tcPr>
            <w:tcW w:w="6268" w:type="dxa"/>
            <w:tcBorders>
              <w:top w:val="nil"/>
              <w:left w:val="nil"/>
              <w:bottom w:val="single" w:sz="4" w:space="0" w:color="000000"/>
              <w:right w:val="single" w:sz="4" w:space="0" w:color="000000"/>
            </w:tcBorders>
            <w:shd w:val="clear" w:color="auto" w:fill="auto"/>
            <w:vAlign w:val="center"/>
          </w:tcPr>
          <w:p w14:paraId="46AFC2A7" w14:textId="77777777" w:rsidR="00BA4E10" w:rsidRDefault="006C31A5">
            <w:pPr>
              <w:pStyle w:val="Normal1"/>
              <w:spacing w:after="0" w:line="240" w:lineRule="auto"/>
              <w:jc w:val="center"/>
              <w:rPr>
                <w:color w:val="000000"/>
              </w:rPr>
            </w:pPr>
            <w:r>
              <w:rPr>
                <w:color w:val="000000"/>
              </w:rPr>
              <w:t>49.9</w:t>
            </w:r>
          </w:p>
        </w:tc>
      </w:tr>
      <w:tr w:rsidR="00BA4E10" w14:paraId="46AFC2AB" w14:textId="77777777">
        <w:trPr>
          <w:trHeight w:val="280"/>
          <w:jc w:val="center"/>
        </w:trPr>
        <w:tc>
          <w:tcPr>
            <w:tcW w:w="3308" w:type="dxa"/>
            <w:tcBorders>
              <w:top w:val="nil"/>
              <w:left w:val="single" w:sz="4" w:space="0" w:color="000000"/>
              <w:bottom w:val="single" w:sz="4" w:space="0" w:color="000000"/>
              <w:right w:val="single" w:sz="4" w:space="0" w:color="000000"/>
            </w:tcBorders>
            <w:shd w:val="clear" w:color="auto" w:fill="auto"/>
            <w:vAlign w:val="center"/>
          </w:tcPr>
          <w:p w14:paraId="46AFC2A9" w14:textId="77777777" w:rsidR="00BA4E10" w:rsidRDefault="006C31A5">
            <w:pPr>
              <w:pStyle w:val="Normal1"/>
              <w:spacing w:after="0" w:line="240" w:lineRule="auto"/>
              <w:jc w:val="center"/>
              <w:rPr>
                <w:color w:val="000000"/>
              </w:rPr>
            </w:pPr>
            <w:r>
              <w:rPr>
                <w:color w:val="000000"/>
              </w:rPr>
              <w:t>2017</w:t>
            </w:r>
          </w:p>
        </w:tc>
        <w:tc>
          <w:tcPr>
            <w:tcW w:w="6268" w:type="dxa"/>
            <w:tcBorders>
              <w:top w:val="nil"/>
              <w:left w:val="nil"/>
              <w:bottom w:val="single" w:sz="4" w:space="0" w:color="000000"/>
              <w:right w:val="single" w:sz="4" w:space="0" w:color="000000"/>
            </w:tcBorders>
            <w:shd w:val="clear" w:color="auto" w:fill="auto"/>
            <w:vAlign w:val="center"/>
          </w:tcPr>
          <w:p w14:paraId="46AFC2AA" w14:textId="77777777" w:rsidR="00BA4E10" w:rsidRDefault="006C31A5">
            <w:pPr>
              <w:pStyle w:val="Normal1"/>
              <w:spacing w:after="0" w:line="240" w:lineRule="auto"/>
              <w:jc w:val="center"/>
              <w:rPr>
                <w:color w:val="000000"/>
              </w:rPr>
            </w:pPr>
            <w:r>
              <w:rPr>
                <w:color w:val="000000"/>
              </w:rPr>
              <w:t>54.4</w:t>
            </w:r>
          </w:p>
        </w:tc>
      </w:tr>
      <w:tr w:rsidR="00BA4E10" w14:paraId="46AFC2AE" w14:textId="77777777">
        <w:trPr>
          <w:trHeight w:val="28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C2AC" w14:textId="77777777" w:rsidR="00BA4E10" w:rsidRDefault="006C31A5">
            <w:pPr>
              <w:pStyle w:val="Normal1"/>
              <w:spacing w:after="0" w:line="240" w:lineRule="auto"/>
              <w:jc w:val="center"/>
              <w:rPr>
                <w:color w:val="000000"/>
              </w:rPr>
            </w:pPr>
            <w:r>
              <w:rPr>
                <w:color w:val="000000"/>
              </w:rPr>
              <w:t>2018</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C2AD" w14:textId="77777777" w:rsidR="00BA4E10" w:rsidRDefault="006C31A5">
            <w:pPr>
              <w:pStyle w:val="Normal1"/>
              <w:spacing w:after="0" w:line="240" w:lineRule="auto"/>
              <w:jc w:val="center"/>
              <w:rPr>
                <w:color w:val="000000"/>
              </w:rPr>
            </w:pPr>
            <w:r>
              <w:rPr>
                <w:color w:val="000000"/>
              </w:rPr>
              <w:t>50.1</w:t>
            </w:r>
          </w:p>
        </w:tc>
      </w:tr>
      <w:tr w:rsidR="00BA4E10" w14:paraId="46AFC2B1" w14:textId="77777777">
        <w:trPr>
          <w:trHeight w:val="280"/>
          <w:jc w:val="center"/>
        </w:trPr>
        <w:tc>
          <w:tcPr>
            <w:tcW w:w="33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C2AF" w14:textId="77777777" w:rsidR="00BA4E10" w:rsidRDefault="006C31A5">
            <w:pPr>
              <w:pStyle w:val="Normal1"/>
              <w:spacing w:after="0" w:line="240" w:lineRule="auto"/>
              <w:jc w:val="center"/>
              <w:rPr>
                <w:color w:val="000000"/>
              </w:rPr>
            </w:pPr>
            <w:r>
              <w:rPr>
                <w:color w:val="000000"/>
              </w:rPr>
              <w:t>2019</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C2B0" w14:textId="77777777" w:rsidR="00BA4E10" w:rsidRDefault="006C31A5">
            <w:pPr>
              <w:pStyle w:val="Normal1"/>
              <w:spacing w:after="0" w:line="240" w:lineRule="auto"/>
              <w:jc w:val="center"/>
              <w:rPr>
                <w:color w:val="000000"/>
              </w:rPr>
            </w:pPr>
            <w:r>
              <w:rPr>
                <w:color w:val="000000"/>
              </w:rPr>
              <w:t>53.3</w:t>
            </w:r>
          </w:p>
        </w:tc>
      </w:tr>
    </w:tbl>
    <w:p w14:paraId="46AFC2B2" w14:textId="77777777" w:rsidR="00BA4E10" w:rsidRPr="00566640" w:rsidRDefault="006C31A5">
      <w:pPr>
        <w:pStyle w:val="Normal1"/>
        <w:spacing w:after="0" w:line="240" w:lineRule="auto"/>
        <w:rPr>
          <w:i/>
          <w:color w:val="000000"/>
          <w:sz w:val="20"/>
          <w:szCs w:val="20"/>
          <w:highlight w:val="white"/>
        </w:rPr>
      </w:pPr>
      <w:r>
        <w:rPr>
          <w:i/>
          <w:color w:val="000000"/>
          <w:sz w:val="20"/>
          <w:szCs w:val="20"/>
          <w:highlight w:val="white"/>
        </w:rPr>
        <w:t>Source: Examination Bureau</w:t>
      </w:r>
      <w:r w:rsidR="00697135">
        <w:rPr>
          <w:i/>
          <w:color w:val="000000"/>
          <w:sz w:val="20"/>
          <w:szCs w:val="20"/>
          <w:highlight w:val="white"/>
        </w:rPr>
        <w:t xml:space="preserve">/ Ministry of Education, dept. </w:t>
      </w:r>
      <w:r w:rsidR="00697135" w:rsidRPr="00566640">
        <w:rPr>
          <w:i/>
          <w:color w:val="000000"/>
          <w:sz w:val="20"/>
          <w:szCs w:val="20"/>
          <w:highlight w:val="white"/>
        </w:rPr>
        <w:t>Research &amp; Planning</w:t>
      </w:r>
    </w:p>
    <w:p w14:paraId="46AFC2B3" w14:textId="1B336353" w:rsidR="00BA4E10" w:rsidRDefault="00BA4E10">
      <w:pPr>
        <w:pStyle w:val="Normal1"/>
      </w:pPr>
      <w:bookmarkStart w:id="1" w:name="_gjdgxs" w:colFirst="0" w:colLast="0"/>
      <w:bookmarkEnd w:id="1"/>
    </w:p>
    <w:p w14:paraId="1D7632FB" w14:textId="5A8E9A21" w:rsidR="00240C70" w:rsidRDefault="00240C70">
      <w:pPr>
        <w:pStyle w:val="Normal1"/>
      </w:pPr>
    </w:p>
    <w:p w14:paraId="46AFC2B5" w14:textId="77777777" w:rsidR="00566640" w:rsidRPr="00FC4C4D" w:rsidRDefault="00566640" w:rsidP="00500A6C">
      <w:pPr>
        <w:pStyle w:val="Normal1"/>
        <w:rPr>
          <w:b/>
          <w:u w:val="single"/>
        </w:rPr>
      </w:pPr>
      <w:r w:rsidRPr="00FC4C4D">
        <w:rPr>
          <w:b/>
          <w:u w:val="single"/>
        </w:rPr>
        <w:t>SDG calculation method:</w:t>
      </w:r>
    </w:p>
    <w:p w14:paraId="46AFC2B6" w14:textId="77777777" w:rsidR="00566640" w:rsidRDefault="00566640" w:rsidP="00500A6C">
      <w:pPr>
        <w:pStyle w:val="Normal1"/>
      </w:pPr>
      <w:r>
        <w:t xml:space="preserve">Purpose: The indicator aims to measure the percentage of children and young people who have achieved the minimum learning outcomes in reading and mathematics during or at the end of the relevant stages of education. </w:t>
      </w:r>
    </w:p>
    <w:p w14:paraId="46AFC2B7" w14:textId="77777777" w:rsidR="00566640" w:rsidRDefault="00566640" w:rsidP="00500A6C">
      <w:pPr>
        <w:pStyle w:val="Normal1"/>
      </w:pPr>
      <w:r w:rsidRPr="00FC4C4D">
        <w:rPr>
          <w:b/>
          <w:u w:val="single"/>
        </w:rPr>
        <w:t>Calculation method</w:t>
      </w:r>
      <w:r>
        <w:t xml:space="preserve">: The number of children and/or young people at the relevant stage of education n in year </w:t>
      </w:r>
      <w:proofErr w:type="spellStart"/>
      <w:r>
        <w:t>t</w:t>
      </w:r>
      <w:proofErr w:type="spellEnd"/>
      <w:r>
        <w:t xml:space="preserve"> achieving or exceeding the pre-defined proficiency level in subject s expressed as a percentage of the number of children and/or young people at stage of education n, in year t, in any proficiency level in subject s. </w:t>
      </w:r>
    </w:p>
    <w:p w14:paraId="46AFC2B8" w14:textId="77777777" w:rsidR="00566640" w:rsidRDefault="00566640" w:rsidP="00500A6C">
      <w:pPr>
        <w:pStyle w:val="Normal1"/>
      </w:pPr>
      <w:proofErr w:type="spellStart"/>
      <w:proofErr w:type="gramStart"/>
      <w:r>
        <w:t>MPLt,n</w:t>
      </w:r>
      <w:proofErr w:type="gramEnd"/>
      <w:r>
        <w:t>,s</w:t>
      </w:r>
      <w:proofErr w:type="spellEnd"/>
      <w:r>
        <w:t xml:space="preserve">, = </w:t>
      </w:r>
      <w:proofErr w:type="spellStart"/>
      <w:r>
        <w:t>MPt,n,s</w:t>
      </w:r>
      <w:proofErr w:type="spellEnd"/>
      <w:r>
        <w:t xml:space="preserve"> </w:t>
      </w:r>
      <w:proofErr w:type="spellStart"/>
      <w:r>
        <w:t>Pt,n</w:t>
      </w:r>
      <w:proofErr w:type="spellEnd"/>
      <w:r>
        <w:t xml:space="preserve"> </w:t>
      </w:r>
    </w:p>
    <w:p w14:paraId="46AFC2B9" w14:textId="77777777" w:rsidR="00566640" w:rsidRDefault="00566640" w:rsidP="00500A6C">
      <w:pPr>
        <w:pStyle w:val="Normal1"/>
      </w:pPr>
      <w:r>
        <w:t xml:space="preserve">Where: </w:t>
      </w:r>
    </w:p>
    <w:p w14:paraId="23421A39" w14:textId="599F0202" w:rsidR="00240C70" w:rsidRDefault="00566640" w:rsidP="00240C70">
      <w:pPr>
        <w:pStyle w:val="Normal1"/>
      </w:pPr>
      <w:proofErr w:type="spellStart"/>
      <w:proofErr w:type="gramStart"/>
      <w:r>
        <w:lastRenderedPageBreak/>
        <w:t>MPt,n</w:t>
      </w:r>
      <w:proofErr w:type="gramEnd"/>
      <w:r>
        <w:t>,s</w:t>
      </w:r>
      <w:proofErr w:type="spellEnd"/>
      <w:r>
        <w:t xml:space="preserve"> = the number of children and young people at stage of education n, in year t, who have achieved or exceeded the minimum proficiency level in subject s.</w:t>
      </w:r>
    </w:p>
    <w:p w14:paraId="150F61CD" w14:textId="77777777" w:rsidR="00C372A6" w:rsidRPr="00C372A6" w:rsidRDefault="00C372A6" w:rsidP="00C372A6">
      <w:pPr>
        <w:pStyle w:val="Normal1"/>
        <w:rPr>
          <w:b/>
          <w:bCs/>
          <w:lang w:val="nl-NL"/>
        </w:rPr>
      </w:pPr>
      <w:r w:rsidRPr="00C372A6">
        <w:rPr>
          <w:b/>
          <w:bCs/>
          <w:lang w:val="nl-NL"/>
        </w:rPr>
        <w:t>SDG-berekeningsmethode:</w:t>
      </w:r>
    </w:p>
    <w:p w14:paraId="0A27BBAF" w14:textId="77777777" w:rsidR="00C372A6" w:rsidRPr="00C372A6" w:rsidRDefault="00C372A6" w:rsidP="00C372A6">
      <w:pPr>
        <w:pStyle w:val="Normal1"/>
        <w:rPr>
          <w:lang w:val="nl-NL"/>
        </w:rPr>
      </w:pPr>
      <w:r w:rsidRPr="00C372A6">
        <w:rPr>
          <w:lang w:val="nl-NL"/>
        </w:rPr>
        <w:t>Doel: De indicator is bedoeld om het percentage kinderen en jongeren te meten dat tijdens of aan het einde van de relevante onderwijsfasen de minimale leerresultaten in lezen en wiskunde hebben behaald.</w:t>
      </w:r>
    </w:p>
    <w:p w14:paraId="3157E39E" w14:textId="77777777" w:rsidR="00C372A6" w:rsidRPr="00C372A6" w:rsidRDefault="00C372A6" w:rsidP="00C372A6">
      <w:pPr>
        <w:pStyle w:val="Normal1"/>
        <w:rPr>
          <w:lang w:val="nl-NL"/>
        </w:rPr>
      </w:pPr>
      <w:r w:rsidRPr="00C372A6">
        <w:rPr>
          <w:lang w:val="nl-NL"/>
        </w:rPr>
        <w:t xml:space="preserve">Berekeningsmethode: Het aantal kinderen en / of jongeren in de relevante onderwijsfase </w:t>
      </w:r>
      <w:r w:rsidRPr="00C372A6">
        <w:rPr>
          <w:b/>
          <w:bCs/>
          <w:lang w:val="nl-NL"/>
        </w:rPr>
        <w:t xml:space="preserve">n </w:t>
      </w:r>
      <w:r w:rsidRPr="00C372A6">
        <w:rPr>
          <w:lang w:val="nl-NL"/>
        </w:rPr>
        <w:t xml:space="preserve">in jaar </w:t>
      </w:r>
      <w:r w:rsidRPr="00C372A6">
        <w:rPr>
          <w:b/>
          <w:bCs/>
          <w:lang w:val="nl-NL"/>
        </w:rPr>
        <w:t>t</w:t>
      </w:r>
      <w:r w:rsidRPr="00C372A6">
        <w:rPr>
          <w:lang w:val="nl-NL"/>
        </w:rPr>
        <w:t xml:space="preserve"> dat het vooraf gedefinieerde vaardigheidsniveau in vakken bereikt of overschrijdt, uitgedrukt als percentage van het aantal kinderen en / of jongeren in het stadium van onderwijs </w:t>
      </w:r>
      <w:r w:rsidRPr="00C372A6">
        <w:rPr>
          <w:b/>
          <w:bCs/>
          <w:lang w:val="nl-NL"/>
        </w:rPr>
        <w:t>n</w:t>
      </w:r>
      <w:r w:rsidRPr="00C372A6">
        <w:rPr>
          <w:lang w:val="nl-NL"/>
        </w:rPr>
        <w:t xml:space="preserve">, in jaar </w:t>
      </w:r>
      <w:r w:rsidRPr="00C372A6">
        <w:rPr>
          <w:b/>
          <w:bCs/>
          <w:lang w:val="nl-NL"/>
        </w:rPr>
        <w:t>t</w:t>
      </w:r>
      <w:r w:rsidRPr="00C372A6">
        <w:rPr>
          <w:lang w:val="nl-NL"/>
        </w:rPr>
        <w:t xml:space="preserve">, in elk vaardigheidsniveau in vak </w:t>
      </w:r>
      <w:r w:rsidRPr="00C372A6">
        <w:rPr>
          <w:b/>
          <w:bCs/>
          <w:lang w:val="nl-NL"/>
        </w:rPr>
        <w:t>s</w:t>
      </w:r>
      <w:r w:rsidRPr="00C372A6">
        <w:rPr>
          <w:lang w:val="nl-NL"/>
        </w:rPr>
        <w:t>.</w:t>
      </w:r>
    </w:p>
    <w:p w14:paraId="13C40356" w14:textId="77777777" w:rsidR="00C372A6" w:rsidRPr="00C372A6" w:rsidRDefault="00C372A6" w:rsidP="00C372A6">
      <w:pPr>
        <w:pStyle w:val="Normal1"/>
        <w:rPr>
          <w:lang w:val="nl-NL"/>
        </w:rPr>
      </w:pPr>
      <w:r w:rsidRPr="00C372A6">
        <w:rPr>
          <w:lang w:val="nl-NL"/>
        </w:rPr>
        <w:t>MPLt, n, s, = MPt, n, s Pt, n</w:t>
      </w:r>
    </w:p>
    <w:p w14:paraId="61C0B309" w14:textId="77777777" w:rsidR="00C372A6" w:rsidRPr="00C372A6" w:rsidRDefault="00C372A6" w:rsidP="00C372A6">
      <w:pPr>
        <w:pStyle w:val="Normal1"/>
        <w:rPr>
          <w:lang w:val="nl-NL"/>
        </w:rPr>
      </w:pPr>
      <w:r w:rsidRPr="00C372A6">
        <w:rPr>
          <w:lang w:val="nl-NL"/>
        </w:rPr>
        <w:t>Waar:</w:t>
      </w:r>
    </w:p>
    <w:p w14:paraId="441CE7D5" w14:textId="38A15456" w:rsidR="00C372A6" w:rsidRPr="00C372A6" w:rsidRDefault="00C372A6" w:rsidP="00C372A6">
      <w:pPr>
        <w:pStyle w:val="Normal1"/>
        <w:rPr>
          <w:lang w:val="nl-NL"/>
        </w:rPr>
      </w:pPr>
      <w:r w:rsidRPr="00C372A6">
        <w:rPr>
          <w:lang w:val="nl-NL"/>
        </w:rPr>
        <w:t>MPt, n, s = het aantal kinderen en jongeren in het onderwijsstadium n, in jaar t, dat het minimum vaardigheidsniveau in vak s heeft behaald of overschreden.</w:t>
      </w:r>
    </w:p>
    <w:sectPr w:rsidR="00C372A6" w:rsidRPr="00C372A6" w:rsidSect="00BA4E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68ED8" w14:textId="77777777" w:rsidR="00BE7F24" w:rsidRDefault="00BE7F24" w:rsidP="00BA4E10">
      <w:pPr>
        <w:spacing w:after="0" w:line="240" w:lineRule="auto"/>
      </w:pPr>
      <w:r>
        <w:separator/>
      </w:r>
    </w:p>
  </w:endnote>
  <w:endnote w:type="continuationSeparator" w:id="0">
    <w:p w14:paraId="21031F05" w14:textId="77777777" w:rsidR="00BE7F24" w:rsidRDefault="00BE7F24" w:rsidP="00BA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605BD" w14:textId="77777777" w:rsidR="00BE7F24" w:rsidRDefault="00BE7F24" w:rsidP="00BA4E10">
      <w:pPr>
        <w:spacing w:after="0" w:line="240" w:lineRule="auto"/>
      </w:pPr>
      <w:r>
        <w:separator/>
      </w:r>
    </w:p>
  </w:footnote>
  <w:footnote w:type="continuationSeparator" w:id="0">
    <w:p w14:paraId="7C0E808F" w14:textId="77777777" w:rsidR="00BE7F24" w:rsidRDefault="00BE7F24" w:rsidP="00BA4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80B93"/>
    <w:multiLevelType w:val="multilevel"/>
    <w:tmpl w:val="1F38FD80"/>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10"/>
    <w:rsid w:val="00240C70"/>
    <w:rsid w:val="00252CCA"/>
    <w:rsid w:val="00273434"/>
    <w:rsid w:val="003C4D1A"/>
    <w:rsid w:val="00500A6C"/>
    <w:rsid w:val="0055584D"/>
    <w:rsid w:val="00566640"/>
    <w:rsid w:val="005E3D72"/>
    <w:rsid w:val="00650EFF"/>
    <w:rsid w:val="00697135"/>
    <w:rsid w:val="006C31A5"/>
    <w:rsid w:val="006D5EF0"/>
    <w:rsid w:val="00770C19"/>
    <w:rsid w:val="00793AC0"/>
    <w:rsid w:val="00815A4F"/>
    <w:rsid w:val="008A51E6"/>
    <w:rsid w:val="009932BB"/>
    <w:rsid w:val="009B3B9D"/>
    <w:rsid w:val="00BA4E10"/>
    <w:rsid w:val="00BE7F24"/>
    <w:rsid w:val="00C372A6"/>
    <w:rsid w:val="00CD1A2C"/>
    <w:rsid w:val="00CF2B90"/>
    <w:rsid w:val="00EA1E09"/>
    <w:rsid w:val="00FC4C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C27A"/>
  <w15:docId w15:val="{B3F55EAD-AE64-477C-A0B6-E0EDE8AC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B9D"/>
  </w:style>
  <w:style w:type="paragraph" w:styleId="Heading1">
    <w:name w:val="heading 1"/>
    <w:basedOn w:val="Normal1"/>
    <w:next w:val="Normal1"/>
    <w:rsid w:val="00BA4E10"/>
    <w:pPr>
      <w:keepNext/>
      <w:keepLines/>
      <w:spacing w:before="480" w:after="120"/>
      <w:outlineLvl w:val="0"/>
    </w:pPr>
    <w:rPr>
      <w:b/>
      <w:sz w:val="48"/>
      <w:szCs w:val="48"/>
    </w:rPr>
  </w:style>
  <w:style w:type="paragraph" w:styleId="Heading2">
    <w:name w:val="heading 2"/>
    <w:basedOn w:val="Normal1"/>
    <w:next w:val="Normal1"/>
    <w:rsid w:val="00BA4E10"/>
    <w:pPr>
      <w:keepNext/>
      <w:keepLines/>
      <w:spacing w:before="360" w:after="80"/>
      <w:outlineLvl w:val="1"/>
    </w:pPr>
    <w:rPr>
      <w:b/>
      <w:sz w:val="36"/>
      <w:szCs w:val="36"/>
    </w:rPr>
  </w:style>
  <w:style w:type="paragraph" w:styleId="Heading3">
    <w:name w:val="heading 3"/>
    <w:basedOn w:val="Normal1"/>
    <w:next w:val="Normal1"/>
    <w:rsid w:val="00BA4E10"/>
    <w:pPr>
      <w:keepNext/>
      <w:keepLines/>
      <w:spacing w:before="280" w:after="80"/>
      <w:outlineLvl w:val="2"/>
    </w:pPr>
    <w:rPr>
      <w:b/>
      <w:sz w:val="28"/>
      <w:szCs w:val="28"/>
    </w:rPr>
  </w:style>
  <w:style w:type="paragraph" w:styleId="Heading4">
    <w:name w:val="heading 4"/>
    <w:basedOn w:val="Normal1"/>
    <w:next w:val="Normal1"/>
    <w:rsid w:val="00BA4E10"/>
    <w:pPr>
      <w:keepNext/>
      <w:keepLines/>
      <w:spacing w:before="240" w:after="40"/>
      <w:outlineLvl w:val="3"/>
    </w:pPr>
    <w:rPr>
      <w:b/>
      <w:sz w:val="24"/>
      <w:szCs w:val="24"/>
    </w:rPr>
  </w:style>
  <w:style w:type="paragraph" w:styleId="Heading5">
    <w:name w:val="heading 5"/>
    <w:basedOn w:val="Normal1"/>
    <w:next w:val="Normal1"/>
    <w:rsid w:val="00BA4E10"/>
    <w:pPr>
      <w:keepNext/>
      <w:keepLines/>
      <w:spacing w:before="220" w:after="40"/>
      <w:outlineLvl w:val="4"/>
    </w:pPr>
    <w:rPr>
      <w:b/>
    </w:rPr>
  </w:style>
  <w:style w:type="paragraph" w:styleId="Heading6">
    <w:name w:val="heading 6"/>
    <w:basedOn w:val="Normal1"/>
    <w:next w:val="Normal1"/>
    <w:rsid w:val="00BA4E1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A4E10"/>
  </w:style>
  <w:style w:type="paragraph" w:styleId="Title">
    <w:name w:val="Title"/>
    <w:basedOn w:val="Normal1"/>
    <w:next w:val="Normal1"/>
    <w:rsid w:val="00BA4E10"/>
    <w:pPr>
      <w:keepNext/>
      <w:keepLines/>
      <w:spacing w:before="480" w:after="120"/>
    </w:pPr>
    <w:rPr>
      <w:b/>
      <w:sz w:val="72"/>
      <w:szCs w:val="72"/>
    </w:rPr>
  </w:style>
  <w:style w:type="paragraph" w:styleId="Subtitle">
    <w:name w:val="Subtitle"/>
    <w:basedOn w:val="Normal1"/>
    <w:next w:val="Normal1"/>
    <w:rsid w:val="00BA4E10"/>
    <w:pPr>
      <w:keepNext/>
      <w:keepLines/>
      <w:spacing w:before="360" w:after="80"/>
    </w:pPr>
    <w:rPr>
      <w:rFonts w:ascii="Georgia" w:eastAsia="Georgia" w:hAnsi="Georgia" w:cs="Georgia"/>
      <w:i/>
      <w:color w:val="666666"/>
      <w:sz w:val="48"/>
      <w:szCs w:val="48"/>
    </w:rPr>
  </w:style>
  <w:style w:type="table" w:customStyle="1" w:styleId="a">
    <w:basedOn w:val="TableNormal"/>
    <w:rsid w:val="00BA4E10"/>
    <w:tblPr>
      <w:tblStyleRowBandSize w:val="1"/>
      <w:tblStyleColBandSize w:val="1"/>
      <w:tblCellMar>
        <w:left w:w="115" w:type="dxa"/>
        <w:right w:w="115" w:type="dxa"/>
      </w:tblCellMar>
    </w:tblPr>
  </w:style>
  <w:style w:type="table" w:customStyle="1" w:styleId="a0">
    <w:basedOn w:val="TableNormal"/>
    <w:rsid w:val="00BA4E1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97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135"/>
    <w:rPr>
      <w:rFonts w:ascii="Tahoma" w:hAnsi="Tahoma" w:cs="Tahoma"/>
      <w:sz w:val="16"/>
      <w:szCs w:val="16"/>
    </w:rPr>
  </w:style>
  <w:style w:type="paragraph" w:styleId="Header">
    <w:name w:val="header"/>
    <w:basedOn w:val="Normal"/>
    <w:link w:val="HeaderChar"/>
    <w:uiPriority w:val="99"/>
    <w:semiHidden/>
    <w:unhideWhenUsed/>
    <w:rsid w:val="006971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135"/>
  </w:style>
  <w:style w:type="paragraph" w:styleId="Footer">
    <w:name w:val="footer"/>
    <w:basedOn w:val="Normal"/>
    <w:link w:val="FooterChar"/>
    <w:uiPriority w:val="99"/>
    <w:semiHidden/>
    <w:unhideWhenUsed/>
    <w:rsid w:val="006971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7135"/>
  </w:style>
  <w:style w:type="paragraph" w:styleId="NoSpacing">
    <w:name w:val="No Spacing"/>
    <w:uiPriority w:val="1"/>
    <w:qFormat/>
    <w:rsid w:val="00FC4C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03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 Sno</dc:creator>
  <cp:lastModifiedBy>Fung A Loi, Marilyn (308)</cp:lastModifiedBy>
  <cp:revision>2</cp:revision>
  <dcterms:created xsi:type="dcterms:W3CDTF">2020-07-29T21:16:00Z</dcterms:created>
  <dcterms:modified xsi:type="dcterms:W3CDTF">2020-07-29T21:16:00Z</dcterms:modified>
</cp:coreProperties>
</file>